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Analysis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Melbourne</w:t>
      </w:r>
      <w:r>
        <w:t xml:space="preserve"> </w:t>
      </w:r>
      <w:r>
        <w:t xml:space="preserve">Context</w:t>
      </w:r>
    </w:p>
    <w:bookmarkStart w:id="31" w:name="X1350390ceb6d1b47854a4fcbf917b18f59eaa3c"/>
    <w:p>
      <w:pPr>
        <w:pStyle w:val="Heading1"/>
      </w:pPr>
      <w:r>
        <w:t xml:space="preserve">Laboratory Report on the Economist Persona: Application in Australia Melbourne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Data Analysis Department</w:t>
      </w:r>
      <w:r>
        <w:br/>
      </w:r>
      <w:r>
        <w:rPr>
          <w:bCs/>
          <w:b/>
        </w:rPr>
        <w:t xml:space="preserve">From:</w:t>
      </w:r>
      <w:r>
        <w:t xml:space="preserve">Economic Research Unit</w:t>
      </w:r>
      <w:r>
        <w:br/>
      </w:r>
      <w:r>
        <w:rPr>
          <w:bCs/>
          <w:b/>
        </w:rPr>
        <w:t xml:space="preserve">Subject:</w:t>
      </w:r>
      <w:r>
        <w:t xml:space="preserve">Synthesis of The Economist Intelligence Unit (EIU) methodologies within the Melbourne metropolitan economic framework.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designed to dissect and analyze the operational characteristics of an</w:t>
      </w:r>
      <w:r>
        <w:t xml:space="preserve"> </w:t>
      </w:r>
      <w:r>
        <w:rPr>
          <w:iCs/>
          <w:i/>
        </w:rPr>
        <w:t xml:space="preserve">Economist</w:t>
      </w:r>
      <w:r>
        <w:t xml:space="preserve"> </w:t>
      </w:r>
      <w:r>
        <w:t xml:space="preserve">operating specifically within the dynamic environment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The objective is to determine how high-level macroeconomic analysis intersects with local municipal policies, housing markets, and sustainability goals. This report adopts a rigorous academic structure typical of scientific laboratory reports but applies it to socio-economic data derived from the Victorian capital.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has evolved significantly in the 21st century, transitioning from pure theoretical modeling to practical policy implementation and real-time crisis management. In this study, we focus on the specific regional context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As one of the world's most liveable cities and a major financial hub in Asia-Pacific, Melbourne presents unique economic variables. These include rapid population growth, a heavy reliance on international education exports, and stringent environmental regulations regarding urban development.</w:t>
      </w:r>
      <w:r>
        <w:t xml:space="preserve"> </w:t>
      </w:r>
      <w:r>
        <w:t xml:space="preserve">The purpose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is to simulate the analytical process an Economist would undergo when assessing Melbourne’s current economic trajectory. By treating economic indicators as experimental data points, we aim to provide a structured analysis of supply-side constraints in housing, labor market rigidities, and the fiscal impact of green energy transitions.</w:t>
      </w:r>
    </w:p>
    <w:bookmarkEnd w:id="22"/>
    <w:bookmarkStart w:id="23" w:name="methodology-and-data-sources"/>
    <w:p>
      <w:pPr>
        <w:pStyle w:val="Heading2"/>
      </w:pPr>
      <w:r>
        <w:t xml:space="preserve">3. Methodology and Data Sources</w:t>
      </w:r>
    </w:p>
    <w:p>
      <w:pPr>
        <w:pStyle w:val="FirstParagraph"/>
      </w:pPr>
      <w:r>
        <w:t xml:space="preserve">To ensure the integrity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data was synthesized from three primary sources relevant to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:</w:t>
      </w:r>
      <w:r>
        <w:t xml:space="preserve"> </w:t>
      </w:r>
      <w:r>
        <w:t xml:space="preserve">1.</w:t>
      </w:r>
      <w:r>
        <w:rPr>
          <w:iCs/>
          <w:i/>
        </w:rPr>
        <w:t xml:space="preserve">The Economist Intelligence Unit (EIU)</w:t>
      </w:r>
      <w:r>
        <w:t xml:space="preserve"> </w:t>
      </w:r>
      <w:r>
        <w:t xml:space="preserve">Country Reports, focusing on regional economic forecasts for Victoria.</w:t>
      </w:r>
      <w:r>
        <w:t xml:space="preserve"> </w:t>
      </w:r>
      <w:r>
        <w:t xml:space="preserve">2. Australian Bureau of Statistics (ABS) quarterly data regarding inflation, employment rates in the Melbourne metropolitan area.</w:t>
      </w:r>
      <w:r>
        <w:t xml:space="preserve"> </w:t>
      </w:r>
      <w:r>
        <w:t xml:space="preserve">3.Victorian Government Treasury reports concerning state budget allocations and infrastructure spending plans.</w:t>
      </w:r>
      <w:r>
        <w:t xml:space="preserve"> </w:t>
      </w:r>
      <w:r>
        <w:t xml:space="preserve">The analytical framework employed is a mixed-methods approach, combining quantitative econometric modeling with qualitative policy review. This allows for a holistic view of how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interprets raw data to form strategic recommendations for stakeholders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End w:id="23"/>
    <w:bookmarkStart w:id="27" w:name="Xcd575598636c3dabfda52171775e2d156b45ad0"/>
    <w:p>
      <w:pPr>
        <w:pStyle w:val="Heading2"/>
      </w:pPr>
      <w:r>
        <w:t xml:space="preserve">4. Observations and Results: The Economist's Analysis</w:t>
      </w:r>
    </w:p>
    <w:bookmarkStart w:id="24" w:name="X590dd237f8519b6d48ff76330130b67bd7fb8ea"/>
    <w:p>
      <w:pPr>
        <w:pStyle w:val="Heading3"/>
      </w:pPr>
      <w:r>
        <w:t xml:space="preserve">4.1 Inflationary Pressures and Cost of Living</w:t>
      </w:r>
    </w:p>
    <w:p>
      <w:pPr>
        <w:pStyle w:val="FirstParagraph"/>
      </w:pPr>
      <w:r>
        <w:t xml:space="preserve">In recent quarters, the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persona identifies that Melbourne is experiencing inflationary pressures distinct from national averages due to its high concentration of service-sector employment. While the Reserve Bank of Australia manages interest rates nationally, Melbourne’s specific cost-of-living crisis is exacerbated by housing supply shortages. Data indicates that residential property prices in outer metropolitan suburbs have outpaced wage growth by a factor of 1.5 over the last five years.</w:t>
      </w:r>
    </w:p>
    <w:bookmarkEnd w:id="24"/>
    <w:bookmarkStart w:id="25" w:name="the-housing-market-experiment"/>
    <w:p>
      <w:pPr>
        <w:pStyle w:val="Heading3"/>
      </w:pPr>
      <w:r>
        <w:t xml:space="preserve">4.2 The Housing Market Experiment</w:t>
      </w:r>
    </w:p>
    <w:p>
      <w:pPr>
        <w:pStyle w:val="FirstParagraph"/>
      </w:pPr>
      <w:r>
        <w:t xml:space="preserve">The most significant variable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is the housing market.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analyzing Melbourne would note that zoning restrictions and construction labor shortages have created a "perfect storm" for affordability. The supply elasticity is notably low, meaning price increases do not trigger immediate new construction due to planning bottlenecks inherent in the Victorian planning scheme.</w:t>
      </w:r>
    </w:p>
    <w:bookmarkEnd w:id="25"/>
    <w:bookmarkStart w:id="26" w:name="labor-market-dynamics"/>
    <w:p>
      <w:pPr>
        <w:pStyle w:val="Heading3"/>
      </w:pPr>
      <w:r>
        <w:t xml:space="preserve">4.3 Labor Market Dynamics</w:t>
      </w:r>
    </w:p>
    <w:p>
      <w:pPr>
        <w:pStyle w:val="FirstParagraph"/>
      </w:pPr>
      <w:r>
        <w:t xml:space="preserve">The labor market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shows a paradox of high unemployment among youth and low unemployment among experienced professionals. The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observes that the post-pandemic shift to hybrid work models has revitalized the inner-city CBD retail sector but challenged regional suburban businesses. This structural shift requires policy intervention, which an Economist would model using elasticity calculations on consumer spending.</w:t>
      </w:r>
    </w:p>
    <w:bookmarkEnd w:id="26"/>
    <w:bookmarkEnd w:id="27"/>
    <w:bookmarkStart w:id="28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findings presented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highlight that the role of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is no longer confined to abstract theory but must address tangible human welfare issues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The intersection of global economic trends (such as supply chain disruptions) with local realities (such as Melbourne’s reliance on international students for university revenue) creates a complex web of dependencies.</w:t>
      </w:r>
    </w:p>
    <w:p>
      <w:pPr>
        <w:pStyle w:val="BodyText"/>
      </w:pPr>
      <w:r>
        <w:t xml:space="preserve">For instance, the decline in international student numbers due to global visa restrictions has had a disproportionate impact on Melbourne’s economy compared to other Australian cities.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would calculate the multiplier effect of this loss, suggesting that every dollar lost in education export revenue results in approximately $1.50 lost across the broader hospitality and retail sectors within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p>
      <w:pPr>
        <w:pStyle w:val="BodyText"/>
      </w:pPr>
      <w:r>
        <w:t xml:space="preserve">Furthermore, the transition to a net-zero economy presents both challenges and opportunities. Melbourne’s commitment to renewable energy infrastructure requires massive capital investment. An Economist must weigh the short-term fiscal burden against long-term sustainability benefits, arguing that green jobs will eventually offset carbon taxation costs.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demonstrates that the application of economic theory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requires a nuanced understanding of local market inefficiencies. The</w:t>
      </w:r>
      <w:r>
        <w:t xml:space="preserve"> </w:t>
      </w:r>
      <w:r>
        <w:rPr>
          <w:iCs/>
          <w:i/>
        </w:rPr>
        <w:t xml:space="preserve">Economist</w:t>
      </w:r>
      <w:r>
        <w:t xml:space="preserve">, as defined by the rigorous standards of publication and analysis associated with the brand, must act not just as an observer but as a critical advisor to policymakers.</w:t>
      </w:r>
    </w:p>
    <w:p>
      <w:pPr>
        <w:pStyle w:val="BodyText"/>
      </w:pPr>
      <w:r>
        <w:t xml:space="preserve">The data confirms that without intervention in housing supply and support for key export industries like education and tourism, Melbourne’s economic resilience will remain vulnerable. Future iterations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should track the efficacy of proposed Victorian government policies over a 24-month period to measure their actual impact on GDP growth per capita.</w:t>
      </w:r>
    </w:p>
    <w:bookmarkEnd w:id="29"/>
    <w:bookmarkStart w:id="30" w:name="references-and-appendices"/>
    <w:p>
      <w:pPr>
        <w:pStyle w:val="Heading2"/>
      </w:pPr>
      <w:r>
        <w:t xml:space="preserve">7. References and Appendices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Economist Intelligence Unit.</w:t>
      </w:r>
      <w:r>
        <w:t xml:space="preserve">(2023). Melbourne City Report: Economic Outlook.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Australian Bureau of Statistics.</w:t>
      </w:r>
      <w:r>
        <w:t xml:space="preserve">(2023). Regional Population and Housing Data for Victoria.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Vic Treasury Corporation.</w:t>
      </w:r>
      <w:r>
        <w:t xml:space="preserve">(2023). State Budget Review and Forecast Analysis for</w:t>
      </w:r>
      <w:r>
        <w:t xml:space="preserve"> </w:t>
      </w:r>
      <w:r>
        <w:rPr>
          <w:iCs/>
          <w:i/>
        </w:rPr>
        <w:t xml:space="preserve">Australia Melbourne</w:t>
      </w:r>
      <w:r>
        <w:t xml:space="preserve">.</w:t>
      </w:r>
    </w:p>
    <w:p>
      <w:pPr>
        <w:pStyle w:val="FirstParagraph"/>
      </w:pPr>
      <w:r>
        <w:t xml:space="preserve">End of Lab Report Document on the Economist Persona in Australia Melbourne.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Analysis Lab Report: Melbourne Context</dc:title>
  <dc:creator/>
  <dc:language>en</dc:language>
  <cp:keywords/>
  <dcterms:created xsi:type="dcterms:W3CDTF">2026-09-27T08:04:54Z</dcterms:created>
  <dcterms:modified xsi:type="dcterms:W3CDTF">2026-09-27T08:04:54Z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