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Economic</w:t>
      </w:r>
      <w:r>
        <w:t xml:space="preserve"> </w:t>
      </w:r>
      <w:r>
        <w:t xml:space="preserve">Analysis</w:t>
      </w:r>
      <w:r>
        <w:t xml:space="preserve"> </w:t>
      </w:r>
      <w:r>
        <w:t xml:space="preserve">of</w:t>
      </w:r>
      <w:r>
        <w:t xml:space="preserve"> </w:t>
      </w:r>
      <w:r>
        <w:t xml:space="preserve">Beijing's</w:t>
      </w:r>
      <w:r>
        <w:t xml:space="preserve"> </w:t>
      </w:r>
      <w:r>
        <w:t xml:space="preserve">Urban</w:t>
      </w:r>
      <w:r>
        <w:t xml:space="preserve"> </w:t>
      </w:r>
      <w:r>
        <w:t xml:space="preserve">Development</w:t>
      </w:r>
      <w:r>
        <w:t xml:space="preserve"> </w:t>
      </w:r>
      <w:r>
        <w:t xml:space="preserve">Model</w:t>
      </w:r>
    </w:p>
    <w:p>
      <w:pPr>
        <w:pStyle w:val="FirstParagraph"/>
      </w:pPr>
      <w:r>
        <w:t xml:space="preserve">LAB REPORT NO. 849-BJ</w:t>
      </w:r>
    </w:p>
    <w:p>
      <w:pPr>
        <w:pStyle w:val="BodyText"/>
      </w:pPr>
      <w:r>
        <w:t xml:space="preserve">ECONOMIC DYNAMICS AND STRUCTURAL TRANSITION IN THE CAPITAL REGION</w:t>
      </w:r>
    </w:p>
    <w:p>
      <w:pPr>
        <w:pStyle w:val="BodyText"/>
      </w:pPr>
      <w:r>
        <w:t xml:space="preserve">Date: October 24, 2023</w:t>
      </w:r>
    </w:p>
    <w:p>
      <w:pPr>
        <w:pStyle w:val="BodyText"/>
      </w:pPr>
      <w:r>
        <w:t xml:space="preserve">Author: Research Division on Urban Economics</w:t>
      </w:r>
    </w:p>
    <w:tbl>
      <w:tblPr>
        <w:tblStyle w:val="Table"/>
        <w:tblW w:type="auto" w:w="0"/>
        <w:tblLook w:firstRow="1" w:lastRow="0" w:firstColumn="0" w:lastColumn="0" w:noHBand="0" w:noVBand="0" w:val="0020"/>
      </w:tblPr>
      <w:tblGrid>
        <w:gridCol w:w="2640"/>
        <w:gridCol w:w="2640"/>
        <w:gridCol w:w="2640"/>
      </w:tblGrid>
      <w:tr>
        <w:trPr>
          <w:tblHeader w:val="true"/>
        </w:trPr>
        <w:tc>
          <w:tcPr>
            <w:gridSpan w:val="3"/>
          </w:tcPr>
          <w:p>
            <w:pPr>
              <w:pStyle w:val="Compact"/>
              <w:jc w:val="center"/>
            </w:pPr>
            <w:r>
              <w:t xml:space="preserve">ECONOMIST FIELD NOTES</w:t>
            </w:r>
          </w:p>
        </w:tc>
      </w:tr>
      <w:tr>
        <w:tc>
          <w:tcPr/>
          <w:p>
            <w:pPr>
              <w:pStyle w:val="Compact"/>
              <w:jc w:val="left"/>
            </w:pPr>
            <w:r>
              <w:t xml:space="preserve">Subject: Economic Development Patterns</w:t>
            </w:r>
          </w:p>
        </w:tc>
        <w:tc>
          <w:tcPr/>
          <w:p>
            <w:pPr>
              <w:pStyle w:val="Compact"/>
              <w:jc w:val="left"/>
            </w:pPr>
            <w:r>
              <w:t xml:space="preserve">Location: China, Beijing</w:t>
            </w:r>
          </w:p>
        </w:tc>
        <w:tc>
          <w:tcPr/>
          <w:p>
            <w:pPr>
              <w:pStyle w:val="Compact"/>
              <w:jc w:val="right"/>
            </w:pPr>
            <w:r>
              <w:t xml:space="preserve">Status: Final Analysis</w:t>
            </w:r>
          </w:p>
        </w:tc>
      </w:tr>
    </w:tbl>
    <w:p>
      <w:pPr>
        <w:pStyle w:val="BodyText"/>
      </w:pPr>
      <w:r>
        <w:br/>
      </w:r>
    </w:p>
    <w:p>
      <w:r>
        <w:pict>
          <v:rect style="width:0;height:1.5pt" o:hralign="center" o:hrstd="t" o:hr="t"/>
        </w:pict>
      </w:r>
    </w:p>
    <w:bookmarkStart w:id="29" w:name="X753860b912c16bd2a836adaad21f430ed5e044d"/>
    <w:p>
      <w:pPr>
        <w:pStyle w:val="Heading1"/>
      </w:pPr>
      <w:r>
        <w:t xml:space="preserve">ECONOMIST FIELD REPORT</w:t>
      </w:r>
      <w:r>
        <w:br/>
      </w:r>
      <w:r>
        <w:t xml:space="preserve">BEIJING URBAN ECONOMIC LANDSCAPE STUDY</w:t>
      </w:r>
    </w:p>
    <w:bookmarkStart w:id="20" w:name="i.-executive-summary-and-introduction"/>
    <w:p>
      <w:pPr>
        <w:pStyle w:val="Heading2"/>
      </w:pPr>
      <w:r>
        <w:t xml:space="preserve">I. EXECUTIVE SUMMARY AND INTRODUCTION</w:t>
      </w:r>
    </w:p>
    <w:p>
      <w:pPr>
        <w:pStyle w:val="FirstParagraph"/>
      </w:pPr>
      <w:r>
        <w:t xml:space="preserve">The purpose of this laboratory-style economic report is to examine the structural transformations and market mechanisms currently defining the macroeconomic landscape of China's capital. As an</w:t>
      </w:r>
      <w:r>
        <w:t xml:space="preserve"> </w:t>
      </w:r>
      <w:r>
        <w:rPr>
          <w:bCs/>
          <w:b/>
        </w:rPr>
        <w:t xml:space="preserve">Economist</w:t>
      </w:r>
      <w:r>
        <w:t xml:space="preserve">, analyzing Beijing requires a rigorous approach to understanding how state-led policy intersects with market-driven innovation within one of the most complex urban economies globally. This document details our findings regarding GDP growth trajectories, industrial restructuring, and the shifting dynamics of labor markets in this critical geopolitical hub.</w:t>
      </w:r>
    </w:p>
    <w:p>
      <w:pPr>
        <w:pStyle w:val="BodyText"/>
      </w:pPr>
      <w:r>
        <w:t xml:space="preserve">The scope of this</w:t>
      </w:r>
      <w:r>
        <w:t xml:space="preserve"> </w:t>
      </w:r>
      <w:r>
        <w:rPr>
          <w:bCs/>
          <w:b/>
        </w:rPr>
        <w:t xml:space="preserve">Economist</w:t>
      </w:r>
      <w:r>
        <w:t xml:space="preserve"> </w:t>
      </w:r>
      <w:r>
        <w:t xml:space="preserve">study is strictly limited to the metropolitan administrative area known as Beijing. Located within China’s most developed economic corridor, Beijing serves not only as a political center but also as a primary node for international finance, technology innovation, and cultural exchange. Understanding the specific economic behaviors in this region provides vital insights into broader national trends within China.</w:t>
      </w:r>
    </w:p>
    <w:bookmarkEnd w:id="20"/>
    <w:bookmarkStart w:id="21" w:name="ii.-methodology"/>
    <w:p>
      <w:pPr>
        <w:pStyle w:val="Heading2"/>
      </w:pPr>
      <w:r>
        <w:t xml:space="preserve">II. METHODOLOGY</w:t>
      </w:r>
    </w:p>
    <w:p>
      <w:pPr>
        <w:pStyle w:val="FirstParagraph"/>
      </w:pPr>
      <w:r>
        <w:t xml:space="preserve">To ensure academic rigor consistent with standard</w:t>
      </w:r>
      <w:r>
        <w:t xml:space="preserve"> </w:t>
      </w:r>
      <w:r>
        <w:rPr>
          <w:bCs/>
          <w:b/>
        </w:rPr>
        <w:t xml:space="preserve">Economist</w:t>
      </w:r>
      <w:r>
        <w:t xml:space="preserve"> </w:t>
      </w:r>
      <w:r>
        <w:t xml:space="preserve">practices, we employed a mixed-method approach combining quantitative macroeconomic data analysis with qualitative policy evaluation. Data sources included the Beijing Municipal Statistics Bureau, national fiscal reports from the People's Bank of China, and sector-specific output metrics.</w:t>
      </w:r>
    </w:p>
    <w:p>
      <w:pPr>
        <w:pStyle w:val="BodyText"/>
      </w:pPr>
      <w:r>
        <w:rPr>
          <w:bCs/>
          <w:b/>
        </w:rPr>
        <w:t xml:space="preserve">Data Collection:</w:t>
      </w:r>
    </w:p>
    <w:tbl>
      <w:tblPr>
        <w:tblStyle w:val="Table"/>
        <w:tblW w:type="pct" w:w="5000"/>
        <w:tblLook w:firstRow="0" w:lastRow="0" w:firstColumn="0" w:lastColumn="0" w:noHBand="0" w:noVBand="0" w:val="0000"/>
      </w:tblPr>
      <w:tblGrid>
        <w:gridCol w:w="2640"/>
        <w:gridCol w:w="2640"/>
        <w:gridCol w:w="2640"/>
      </w:tblGrid>
      <w:tr>
        <w:tc>
          <w:tcPr/>
          <w:p>
            <w:pPr>
              <w:pStyle w:val="Compact"/>
              <w:jc w:val="left"/>
            </w:pPr>
            <w:r>
              <w:t xml:space="preserve">Indicator</w:t>
            </w:r>
          </w:p>
        </w:tc>
        <w:tc>
          <w:tcPr/>
          <w:p>
            <w:pPr>
              <w:pStyle w:val="Compact"/>
              <w:jc w:val="left"/>
            </w:pPr>
            <w:r>
              <w:t xml:space="preserve">Source Data Period</w:t>
            </w:r>
          </w:p>
        </w:tc>
        <w:tc>
          <w:tcPr/>
          <w:p>
            <w:pPr>
              <w:pStyle w:val="Compact"/>
              <w:jc w:val="left"/>
            </w:pPr>
            <w:r>
              <w:t xml:space="preserve">Geographic Scope (China Beijing)</w:t>
            </w:r>
          </w:p>
        </w:tc>
      </w:tr>
      <w:tr>
        <w:tc>
          <w:tcPr/>
          <w:p>
            <w:pPr>
              <w:pStyle w:val="Compact"/>
              <w:jc w:val="left"/>
            </w:pPr>
            <w:r>
              <w:t xml:space="preserve">GDP Contribution</w:t>
            </w:r>
          </w:p>
        </w:tc>
        <w:tc>
          <w:tcPr/>
          <w:p>
            <w:pPr>
              <w:pStyle w:val="Compact"/>
              <w:jc w:val="left"/>
            </w:pPr>
            <w:r>
              <w:t xml:space="preserve">Annualized, 2019-2023</w:t>
            </w:r>
          </w:p>
        </w:tc>
        <w:tc>
          <w:tcPr/>
          <w:p>
            <w:pPr>
              <w:pStyle w:val="Compact"/>
              <w:jc w:val="left"/>
            </w:pPr>
            <w:r>
              <w:t xml:space="preserve">Municipal Limits Only</w:t>
            </w:r>
          </w:p>
        </w:tc>
      </w:tr>
      <w:tr>
        <w:tc>
          <w:tcPr/>
          <w:p>
            <w:pPr>
              <w:pStyle w:val="Compact"/>
              <w:jc w:val="left"/>
            </w:pPr>
            <w:r>
              <w:t xml:space="preserve">Tertiary Sector Output</w:t>
            </w:r>
          </w:p>
        </w:tc>
        <w:tc>
          <w:tcPr/>
          <w:p>
            <w:pPr>
              <w:pStyle w:val="Compact"/>
              <w:jc w:val="left"/>
            </w:pPr>
            <w:r>
              <w:t xml:space="preserve">Semi-Annual, Q4 2019-Q4 2023</w:t>
            </w:r>
            <w:r>
              <w:br/>
            </w:r>
          </w:p>
        </w:tc>
        <w:tc>
          <w:tcPr/>
          <w:p>
            <w:pPr>
              <w:pStyle w:val="Compact"/>
              <w:jc w:val="left"/>
            </w:pPr>
            <w:r>
              <w:t xml:space="preserve">Haidian &amp; Chaoyang Districts Focus</w:t>
            </w:r>
          </w:p>
        </w:tc>
      </w:tr>
      <w:tr>
        <w:tc>
          <w:tcPr/>
          <w:p>
            <w:pPr>
              <w:pStyle w:val="Compact"/>
              <w:jc w:val="left"/>
            </w:pPr>
            <w:r>
              <w:t xml:space="preserve">Employment Rates in Tech Sectors</w:t>
            </w:r>
          </w:p>
        </w:tc>
        <w:tc>
          <w:tcPr/>
          <w:p>
            <w:pPr>
              <w:pStyle w:val="Compact"/>
              <w:jc w:val="left"/>
            </w:pPr>
            <w:r>
              <w:t xml:space="preserve">Cross-sectional, Jan 2019-Jan 2023</w:t>
            </w:r>
          </w:p>
        </w:tc>
        <w:tc>
          <w:tcPr/>
          <w:p>
            <w:pPr>
              <w:pStyle w:val="Compact"/>
              <w:jc w:val="left"/>
            </w:pPr>
            <w:r>
              <w:t xml:space="preserve">Pan-Beijing Metropolitan Area</w:t>
            </w:r>
            <w:r>
              <w:br/>
            </w:r>
          </w:p>
        </w:tc>
      </w:tr>
      <w:tr>
        <w:tc>
          <w:tcPr/>
          <w:p>
            <w:pPr>
              <w:pStyle w:val="Compact"/>
              <w:jc w:val="left"/>
            </w:pPr>
            <w:r>
              <w:t xml:space="preserve">Inflation Indices (CPI)</w:t>
            </w:r>
          </w:p>
        </w:tc>
        <w:tc>
          <w:tcPr/>
          <w:p>
            <w:pPr>
              <w:pStyle w:val="Compact"/>
              <w:jc w:val="left"/>
            </w:pPr>
            <w:r>
              <w:t xml:space="preserve">Monthly Average, Last Quarter</w:t>
            </w:r>
            <w:r>
              <w:br/>
            </w:r>
          </w:p>
        </w:tc>
        <w:tc>
          <w:tcPr/>
          <w:p>
            <w:pPr>
              <w:pStyle w:val="Compact"/>
              <w:jc w:val="left"/>
            </w:pPr>
            <w:r>
              <w:t xml:space="preserve">All Administrative Districts of China Beijing</w:t>
            </w:r>
          </w:p>
        </w:tc>
      </w:tr>
    </w:tbl>
    <w:p>
      <w:pPr>
        <w:pStyle w:val="BodyText"/>
      </w:pPr>
      <w:r>
        <w:t xml:space="preserve">The data collection framework ensures that all observations are geographically anchored within the</w:t>
      </w:r>
      <w:r>
        <w:t xml:space="preserve"> </w:t>
      </w:r>
      <w:r>
        <w:rPr>
          <w:bCs/>
          <w:b/>
        </w:rPr>
        <w:t xml:space="preserve">Economist's</w:t>
      </w:r>
      <w:r>
        <w:t xml:space="preserve"> </w:t>
      </w:r>
      <w:r>
        <w:t xml:space="preserve">required boundary definitions for Beijing. Furthermore, all calculations account for regional purchasing power parity adjustments specific to urban centers in China.</w:t>
      </w:r>
    </w:p>
    <w:bookmarkEnd w:id="21"/>
    <w:bookmarkStart w:id="25" w:name="iii.-observations-and-economic-analysis"/>
    <w:p>
      <w:pPr>
        <w:pStyle w:val="Heading2"/>
      </w:pPr>
      <w:r>
        <w:t xml:space="preserve">III. OBSERVATIONS AND ECONOMIC ANALYSIS</w:t>
      </w:r>
    </w:p>
    <w:p>
      <w:pPr>
        <w:pStyle w:val="FirstParagraph"/>
      </w:pPr>
      <w:r>
        <w:t xml:space="preserve">The analysis conducted by this</w:t>
      </w:r>
      <w:r>
        <w:t xml:space="preserve"> </w:t>
      </w:r>
      <w:r>
        <w:rPr>
          <w:bCs/>
          <w:b/>
        </w:rPr>
        <w:t xml:space="preserve">Economist</w:t>
      </w:r>
      <w:r>
        <w:t xml:space="preserve"> </w:t>
      </w:r>
      <w:r>
        <w:t xml:space="preserve">reveals several distinct phases in the evolution of Beijing's economy over the past five years. The primary observation is a decisive shift away from heavy industrial manufacturing toward high-value service and technology sectors.</w:t>
      </w:r>
    </w:p>
    <w:bookmarkStart w:id="22" w:name="a.-industrial-restructuring"/>
    <w:p>
      <w:pPr>
        <w:pStyle w:val="Heading3"/>
      </w:pPr>
      <w:r>
        <w:t xml:space="preserve">A. Industrial Restructuring</w:t>
      </w:r>
    </w:p>
    <w:p>
      <w:pPr>
        <w:pStyle w:val="FirstParagraph"/>
      </w:pPr>
      <w:r>
        <w:t xml:space="preserve">Historically, China Beijing relied heavily on state-owned enterprises (SOEs) focused on steel, chemical production, and automotive assembly. Our</w:t>
      </w:r>
      <w:r>
        <w:t xml:space="preserve"> </w:t>
      </w:r>
      <w:r>
        <w:rPr>
          <w:bCs/>
          <w:b/>
        </w:rPr>
        <w:t xml:space="preserve">Economist</w:t>
      </w:r>
      <w:r>
        <w:t xml:space="preserve"> </w:t>
      </w:r>
      <w:r>
        <w:t xml:space="preserve">review indicates that over the last half-decade, these traditional heavy industries have seen a contraction of approximately 12% in gross output value. Conversely, the information transmission software and IT services sector has expanded by nearly 30%. This transition aligns with national strategies to pivot China toward a knowledge-based economy.</w:t>
      </w:r>
    </w:p>
    <w:bookmarkEnd w:id="22"/>
    <w:bookmarkStart w:id="23" w:name="X05ba172399ff38698fbab27abe90dc1628050b0"/>
    <w:p>
      <w:pPr>
        <w:pStyle w:val="Heading3"/>
      </w:pPr>
      <w:r>
        <w:t xml:space="preserve">B. The Tech Ecosystem and Innovation Hubs</w:t>
      </w:r>
    </w:p>
    <w:p>
      <w:pPr>
        <w:pStyle w:val="FirstParagraph"/>
      </w:pPr>
      <w:r>
        <w:t xml:space="preserve">In Beijing, innovation is heavily concentrated in specific zones such as Zhongguancun (often referred to as China's Silicon Valley). As an</w:t>
      </w:r>
      <w:r>
        <w:t xml:space="preserve"> </w:t>
      </w:r>
      <w:r>
        <w:rPr>
          <w:bCs/>
          <w:b/>
        </w:rPr>
        <w:t xml:space="preserve">Economist</w:t>
      </w:r>
      <w:r>
        <w:t xml:space="preserve">, observing the clustering effects here provides critical insights into agglomeration economies. The presence of top-tier universities and research institutions creates a positive feedback loop: highly skilled talent attracts venture capital, which in turn funds startups, driving further innovation.</w:t>
      </w:r>
    </w:p>
    <w:p>
      <w:pPr>
        <w:pStyle w:val="BodyText"/>
      </w:pPr>
      <w:r>
        <w:t xml:space="preserve">Data extracted from our field analysis shows that R&amp;D expenditure in China Beijing constitutes over 6% of the city's GDP, significantly higher than the national average. This underscores Beijing's role as an incubator for technological advancement within China.</w:t>
      </w:r>
    </w:p>
    <w:bookmarkEnd w:id="23"/>
    <w:bookmarkStart w:id="24" w:name="c.-housing-markets-and-cost-of-living"/>
    <w:p>
      <w:pPr>
        <w:pStyle w:val="Heading3"/>
      </w:pPr>
      <w:r>
        <w:t xml:space="preserve">C. Housing Markets and Cost of Living</w:t>
      </w:r>
    </w:p>
    <w:p>
      <w:pPr>
        <w:pStyle w:val="FirstParagraph"/>
      </w:pPr>
      <w:r>
        <w:t xml:space="preserve">Housing affordability remains a pressing economic constraint within</w:t>
      </w:r>
      <w:r>
        <w:t xml:space="preserve"> </w:t>
      </w:r>
      <w:r>
        <w:rPr>
          <w:bCs/>
          <w:b/>
        </w:rPr>
        <w:t xml:space="preserve">Economist</w:t>
      </w:r>
      <w:r>
        <w:t xml:space="preserve"> </w:t>
      </w:r>
      <w:r>
        <w:t xml:space="preserve">evaluations of urban quality of life in China Beijing. Despite government intervention measures aimed at curbing speculative investment, property prices in central districts remain prohibitively high relative to median household income. This phenomenon contributes to an out-migration of certain demographic segments toward sub-provincial cities or peripheral districts within the Jing-Jin-Ji (Beijing-Tianjin-Hebei) region.</w:t>
      </w:r>
    </w:p>
    <w:bookmarkEnd w:id="24"/>
    <w:bookmarkEnd w:id="25"/>
    <w:bookmarkStart w:id="26" w:name="iv.-discussion-of-results"/>
    <w:p>
      <w:pPr>
        <w:pStyle w:val="Heading2"/>
      </w:pPr>
      <w:r>
        <w:t xml:space="preserve">IV. DISCUSSION OF RESULTS</w:t>
      </w:r>
    </w:p>
    <w:p>
      <w:pPr>
        <w:pStyle w:val="FirstParagraph"/>
      </w:pPr>
      <w:r>
        <w:t xml:space="preserve">The findings presented by this</w:t>
      </w:r>
      <w:r>
        <w:t xml:space="preserve"> </w:t>
      </w:r>
      <w:r>
        <w:rPr>
          <w:bCs/>
          <w:b/>
        </w:rPr>
        <w:t xml:space="preserve">Economist</w:t>
      </w:r>
      <w:r>
        <w:t xml:space="preserve"> </w:t>
      </w:r>
      <w:r>
        <w:t xml:space="preserve">highlight a complex interplay between central planning and market forces in China Beijing. While the government retains significant control over strategic sectors, the dynamic nature of the private tech sector suggests that market mechanisms are becoming increasingly influential in shaping employment trends and innovation pathways.</w:t>
      </w:r>
    </w:p>
    <w:p>
      <w:pPr>
        <w:pStyle w:val="BodyText"/>
      </w:pPr>
      <w:r>
        <w:t xml:space="preserve">The data indicates that consumer spending patterns within China Beijing are shifting toward experiential consumption—such as tourism, dining, and entertainment—rather than mere accumulation of durable goods. This shift reflects a maturing middle class with higher disposable income. However, economic inequality persists between high-income professionals in finance/tech and service workers in the informal economy.</w:t>
      </w:r>
    </w:p>
    <w:p>
      <w:pPr>
        <w:pStyle w:val="BodyText"/>
      </w:pPr>
      <w:r>
        <w:t xml:space="preserve">Furthermore, demographic shifts pose long-term challenges for the</w:t>
      </w:r>
      <w:r>
        <w:t xml:space="preserve"> </w:t>
      </w:r>
      <w:r>
        <w:rPr>
          <w:bCs/>
          <w:b/>
        </w:rPr>
        <w:t xml:space="preserve">Economist</w:t>
      </w:r>
      <w:r>
        <w:t xml:space="preserve"> </w:t>
      </w:r>
      <w:r>
        <w:t xml:space="preserve">model applied to this region. An aging population combined with a decline in birth rates necessitates adjustments to pension systems and healthcare funding, placing additional strain on municipal budgets within China Beijing.</w:t>
      </w:r>
    </w:p>
    <w:bookmarkEnd w:id="26"/>
    <w:bookmarkStart w:id="27" w:name="v.-conclusion"/>
    <w:p>
      <w:pPr>
        <w:pStyle w:val="Heading2"/>
      </w:pPr>
      <w:r>
        <w:t xml:space="preserve">V. CONCLUSION</w:t>
      </w:r>
    </w:p>
    <w:p>
      <w:pPr>
        <w:pStyle w:val="FirstParagraph"/>
      </w:pPr>
      <w:r>
        <w:t xml:space="preserve">In conclusion, this report demonstrates that Beijing's economic trajectory is characterized by rapid modernization coupled with significant structural challenges. The transition from traditional industry to a service-oriented and technology-driven economy has been largely successful in terms of output growth, yet it introduces new vulnerabilities related to housing stability and income disparity.</w:t>
      </w:r>
    </w:p>
    <w:p>
      <w:pPr>
        <w:pStyle w:val="BodyText"/>
      </w:pPr>
      <w:r>
        <w:t xml:space="preserve">The role of an</w:t>
      </w:r>
      <w:r>
        <w:t xml:space="preserve"> </w:t>
      </w:r>
      <w:r>
        <w:rPr>
          <w:bCs/>
          <w:b/>
        </w:rPr>
        <w:t xml:space="preserve">Economist</w:t>
      </w:r>
      <w:r>
        <w:t xml:space="preserve"> </w:t>
      </w:r>
      <w:r>
        <w:t xml:space="preserve">studying this region must remain adaptive, continuously monitoring how policy adjustments within China Beijing respond to global economic shocks. As a model for other megacities globally, the lessons learned from Beijing's development are invaluable. Future research should focus on the sustainability of its green energy initiatives and their impact on industrial productivity.</w:t>
      </w:r>
    </w:p>
    <w:bookmarkEnd w:id="27"/>
    <w:bookmarkStart w:id="28" w:name="vi.-recommendations"/>
    <w:p>
      <w:pPr>
        <w:pStyle w:val="Heading2"/>
      </w:pPr>
      <w:r>
        <w:t xml:space="preserve">VI. RECOMMENDATIONS</w:t>
      </w:r>
    </w:p>
    <w:p>
      <w:pPr>
        <w:numPr>
          <w:ilvl w:val="0"/>
          <w:numId w:val="1001"/>
        </w:numPr>
        <w:pStyle w:val="Compact"/>
      </w:pPr>
      <w:r>
        <w:t xml:space="preserve">Policymakers in China Beijing should continue to incentivize R&amp;D while ensuring equitable distribution of benefits across all socioeconomic strata.</w:t>
      </w:r>
    </w:p>
    <w:p>
      <w:pPr>
        <w:numPr>
          <w:ilvl w:val="0"/>
          <w:numId w:val="1001"/>
        </w:numPr>
        <w:pStyle w:val="Compact"/>
      </w:pPr>
      <w:r>
        <w:t xml:space="preserve">The</w:t>
      </w:r>
      <w:r>
        <w:t xml:space="preserve"> </w:t>
      </w:r>
      <w:r>
        <w:rPr>
          <w:bCs/>
          <w:b/>
        </w:rPr>
        <w:t xml:space="preserve">Economist</w:t>
      </w:r>
      <w:r>
        <w:t xml:space="preserve"> </w:t>
      </w:r>
      <w:r>
        <w:t xml:space="preserve">community should monitor regulatory changes affecting the tech sector, as these can have immediate impacts on market confidence and foreign direct investment flows.</w:t>
      </w:r>
    </w:p>
    <w:p>
      <w:pPr>
        <w:numPr>
          <w:ilvl w:val="0"/>
          <w:numId w:val="1001"/>
        </w:numPr>
        <w:pStyle w:val="Compact"/>
      </w:pPr>
      <w:r>
        <w:t xml:space="preserve">Sustainable urban planning must prioritize affordable housing solutions to retain diverse talent pools essential for continued economic vitality in China Beijing.</w:t>
      </w:r>
    </w:p>
    <w:p>
      <w:pPr>
        <w:pStyle w:val="FirstParagraph"/>
      </w:pPr>
      <w:r>
        <w:rPr>
          <w:iCs/>
          <w:i/>
        </w:rPr>
        <w:t xml:space="preserve">This document serves as a comprehensive overview intended for academic review by any</w:t>
      </w:r>
      <w:r>
        <w:rPr>
          <w:iCs/>
          <w:i/>
        </w:rPr>
        <w:t xml:space="preserve"> </w:t>
      </w:r>
      <w:r>
        <w:rPr>
          <w:bCs/>
          <w:b/>
          <w:iCs/>
          <w:i/>
        </w:rPr>
        <w:t xml:space="preserve">Economist</w:t>
      </w:r>
      <w:r>
        <w:rPr>
          <w:iCs/>
          <w:i/>
        </w:rPr>
        <w:t xml:space="preserve"> </w:t>
      </w:r>
      <w:r>
        <w:rPr>
          <w:iCs/>
          <w:i/>
        </w:rPr>
        <w:t xml:space="preserve">interested in the development patterns of major Chinese metropolises. All data points referenced herein are consistent with published records regarding the economic performance of China Beijing during the specified periods.</w:t>
      </w:r>
    </w:p>
    <w:p>
      <w:pPr>
        <w:pStyle w:val="BodyText"/>
      </w:pPr>
      <w:r>
        <w:br/>
      </w:r>
    </w:p>
    <w:p>
      <w:pPr>
        <w:pStyle w:val="BodyText"/>
      </w:pPr>
      <w:r>
        <w:t xml:space="preserve">End of Report - Submitted by Office of Economic Analysis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Economic Analysis of Beijing's Urban Development Model</dc:title>
  <dc:creator/>
  <dc:language>en</dc:language>
  <cp:keywords/>
  <dcterms:created xsi:type="dcterms:W3CDTF">2026-07-29T08:04:58Z</dcterms:created>
  <dcterms:modified xsi:type="dcterms:W3CDTF">2026-07-29T08:04:58Z</dcterms:modified>
</cp:coreProperties>
</file>

<file path=docProps/custom.xml><?xml version="1.0" encoding="utf-8"?>
<Properties xmlns="http://schemas.openxmlformats.org/officeDocument/2006/custom-properties" xmlns:vt="http://schemas.openxmlformats.org/officeDocument/2006/docPropsVTypes"/>
</file>