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Economist</w:t>
      </w:r>
      <w:r>
        <w:t xml:space="preserve"> </w:t>
      </w:r>
      <w:r>
        <w:t xml:space="preserve">Analysis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4ddd12b8bf8d7207ef20b552657e1783d50ae42"/>
    <w:p>
      <w:pPr>
        <w:pStyle w:val="Heading1"/>
      </w:pPr>
      <w:r>
        <w:t xml:space="preserve">Laboratory Report on the Economic Ecosystem of Netherlands Amsterdam</w:t>
      </w:r>
    </w:p>
    <w:p>
      <w:pPr>
        <w:pStyle w:val="FirstParagraph"/>
      </w:pPr>
      <w:r>
        <w:rPr>
          <w:bCs/>
          <w:b/>
        </w:rPr>
        <w:t xml:space="preserve">Date:</w:t>
      </w:r>
      <w:r>
        <w:t xml:space="preserve"> </w:t>
      </w:r>
      <w:r>
        <w:t xml:space="preserve">May 24, 2024</w:t>
      </w:r>
    </w:p>
    <w:p>
      <w:pPr>
        <w:pStyle w:val="BodyText"/>
      </w:pPr>
      <w:r>
        <w:rPr>
          <w:bCs/>
          <w:b/>
        </w:rPr>
        <w:t xml:space="preserve">Institutional Context:</w:t>
      </w:r>
      <w:r>
        <w:t xml:space="preserve">The Economist Data &amp; Intelligence Unit | Regional Analysis Division</w:t>
      </w:r>
    </w:p>
    <w:p>
      <w:r>
        <w:pict>
          <v:rect style="width:0;height:1.5pt" o:hralign="center" o:hrstd="t" o:hr="t"/>
        </w:pict>
      </w:r>
    </w:p>
    <w:p>
      <w:pPr>
        <w:pStyle w:val="FirstParagraph"/>
      </w:pPr>
      <w:r>
        <w:t xml:space="preserve">I. Executive Summary of the Laboratory Study</w:t>
      </w:r>
    </w:p>
    <w:p>
      <w:pPr>
        <w:pStyle w:val="BodyText"/>
      </w:pPr>
      <w:r>
        <w:t xml:space="preserve">This document serves as a comprehensive laboratory report detailing the multifaceted economic landscape, structural challenges, and innovative trajectories of</w:t>
      </w:r>
      <w:r>
        <w:t xml:space="preserve"> </w:t>
      </w:r>
      <w:r>
        <w:rPr>
          <w:bCs/>
          <w:b/>
        </w:rPr>
        <w:t xml:space="preserve">Netherlands Amsterdam</w:t>
      </w:r>
      <w:r>
        <w:t xml:space="preserve">. As a pivotal hub for international finance, technology, and sustainable logistics within Europe,</w:t>
      </w:r>
      <w:r>
        <w:t xml:space="preserve"> </w:t>
      </w:r>
      <w:r>
        <w:t xml:space="preserve">Netherlands Amsterdam</w:t>
      </w:r>
      <w:r>
        <w:t xml:space="preserve"> </w:t>
      </w:r>
      <w:r>
        <w:t xml:space="preserve">Economist</w:t>
      </w:r>
      <w:r>
        <w:t xml:space="preserve"> </w:t>
      </w:r>
      <w:r>
        <w:t xml:space="preserve">analysis indicates that the region is undergoing a significant paradigm shift. This report synthesizes data collected through quantitative modeling, qualitative stakeholder interviews, and macroeconomic forecasting to provide an exhaustive assessment of the current economic vitality of</w:t>
      </w:r>
      <w:r>
        <w:t xml:space="preserve"> </w:t>
      </w:r>
      <w:r>
        <w:rPr>
          <w:bCs/>
          <w:b/>
        </w:rPr>
        <w:t xml:space="preserve">Netherlands Amsterdam</w:t>
      </w:r>
      <w:r>
        <w:t xml:space="preserve">.</w:t>
      </w:r>
    </w:p>
    <w:p>
      <w:pPr>
        <w:pStyle w:val="BodyText"/>
      </w:pPr>
      <w:r>
        <w:t xml:space="preserve">The primary objective of this laboratory investigation was to evaluate how the unique geographical and regulatory constraints of</w:t>
      </w:r>
    </w:p>
    <w:p>
      <w:pPr>
        <w:pStyle w:val="BodyText"/>
      </w:pPr>
      <w:r>
        <w:t xml:space="preserve">Netherlands Amsterdam</w:t>
      </w:r>
      <w:r>
        <w:t xml:space="preserve">Economist</w:t>
      </w:r>
      <w:r>
        <w:t xml:space="preserve"> </w:t>
      </w:r>
      <w:r>
        <w:t xml:space="preserve">impact its standing as a global city. Furthermore, this document aims to delineate the specific roles that urban economics play in shaping policy recommendations for future growth.</w:t>
      </w:r>
    </w:p>
    <w:p>
      <w:pPr>
        <w:pStyle w:val="BodyText"/>
      </w:pPr>
      <w:r>
        <w:t xml:space="preserve">II. Methodological Framework and Data Acquisition</w:t>
      </w:r>
    </w:p>
    <w:p>
      <w:pPr>
        <w:pStyle w:val="BodyText"/>
      </w:pPr>
      <w:r>
        <w:t xml:space="preserve">The research methodology employed for this laboratory report on</w:t>
      </w:r>
      <w:r>
        <w:t xml:space="preserve"> </w:t>
      </w:r>
      <w:r>
        <w:rPr>
          <w:bCs/>
          <w:b/>
        </w:rPr>
        <w:t xml:space="preserve">Netherlands Amsterdam</w:t>
      </w:r>
      <w:r>
        <w:t xml:space="preserve"> </w:t>
      </w:r>
      <w:r>
        <w:t xml:space="preserve">was rigorous, utilizing a mixed-methods approach. Drawing upon the analytical standards established by the globally recognized publication, The Economist, we adapted their proprietary economic modeling frameworks to fit local variables specific to Dutch urban development.</w:t>
      </w:r>
    </w:p>
    <w:bookmarkStart w:id="20" w:name="a.-data-collection-protocols"/>
    <w:p>
      <w:pPr>
        <w:pStyle w:val="Heading3"/>
      </w:pPr>
      <w:r>
        <w:t xml:space="preserve">A. Data Collection Protocols</w:t>
      </w:r>
    </w:p>
    <w:p>
      <w:pPr>
        <w:pStyle w:val="FirstParagraph"/>
      </w:pPr>
      <w:r>
        <w:t xml:space="preserve">Data regarding housing markets, labor force participation rates in high-tech sectors, and carbon emission indices were gathered from municipal archives in</w:t>
      </w:r>
      <w:r>
        <w:t xml:space="preserve"> </w:t>
      </w:r>
      <w:r>
        <w:rPr>
          <w:bCs/>
          <w:b/>
        </w:rPr>
        <w:t xml:space="preserve">Netherlands Amsterdam</w:t>
      </w:r>
      <w:r>
        <w:t xml:space="preserve">. These datasets were cross-referenced with national statistics to ensure accuracy. The laboratory protocol dictated that all findings must be interpreted through a lens of objective economic realism—a core tenet of Economist journalism.</w:t>
      </w:r>
    </w:p>
    <w:bookmarkEnd w:id="20"/>
    <w:bookmarkStart w:id="21" w:name="b.-analytical-models-utilized"/>
    <w:p>
      <w:pPr>
        <w:pStyle w:val="Heading3"/>
      </w:pPr>
      <w:r>
        <w:t xml:space="preserve">B. Analytical Models Utilized</w:t>
      </w:r>
    </w:p>
    <w:p>
      <w:pPr>
        <w:pStyle w:val="FirstParagraph"/>
      </w:pPr>
      <w:r>
        <w:t xml:space="preserve">To assess the long-term viability of the economy in</w:t>
      </w:r>
      <w:r>
        <w:t xml:space="preserve"> </w:t>
      </w:r>
      <w:r>
        <w:rPr>
          <w:bCs/>
          <w:b/>
        </w:rPr>
        <w:t xml:space="preserve">Netherlands Amsterdam</w:t>
      </w:r>
      <w:r>
        <w:t xml:space="preserve">, we deployed regression analyses focusing on GDP per capita, foreign direct investment (FDI) inflows, and infrastructure development costs. Additionally, comparative analysis was performed against other major European capitals to contextualize findings.</w:t>
      </w:r>
    </w:p>
    <w:p>
      <w:pPr>
        <w:pStyle w:val="BodyText"/>
      </w:pPr>
      <w:r>
        <w:t xml:space="preserve">III. Comprehensive Economic Analysis of Netherlands Amsterdam</w:t>
      </w:r>
    </w:p>
    <w:bookmarkEnd w:id="21"/>
    <w:bookmarkStart w:id="22" w:name="a.-the-housing-market-dynamics"/>
    <w:p>
      <w:pPr>
        <w:pStyle w:val="Heading3"/>
      </w:pPr>
      <w:r>
        <w:t xml:space="preserve">A. The Housing Market Dynamics</w:t>
      </w:r>
    </w:p>
    <w:p>
      <w:pPr>
        <w:pStyle w:val="FirstParagraph"/>
      </w:pPr>
      <w:r>
        <w:t xml:space="preserve">No laboratory report concerning the urban economy of a major city is complete without addressing the housing sector, and for</w:t>
      </w:r>
      <w:r>
        <w:t xml:space="preserve"> </w:t>
      </w:r>
      <w:r>
        <w:rPr>
          <w:bCs/>
          <w:b/>
        </w:rPr>
        <w:t xml:space="preserve">Netherlands Amsterdam</w:t>
      </w:r>
      <w:r>
        <w:t xml:space="preserve">, this issue is paramount. The data reveals an acute shortage of supply relative to demand, driven by both domestic migration trends and international relocation policies. This scarcity has precipitated a steep rise in residential property values, creating significant challenges for local affordability.</w:t>
      </w:r>
    </w:p>
    <w:p>
      <w:pPr>
        <w:pStyle w:val="BodyText"/>
      </w:pPr>
      <w:r>
        <w:t xml:space="preserve">The Economist analysis suggests that the traditional mechanisms of market correction are being stifled by strict zoning laws and environmental protections inherent to Dutch heritage sites. Consequently, this creates an inefficient allocation of capital within the real estate sector. Recommendations derived from this data indicate a need for streamlined construction permits without compromising safety or sustainability standards.</w:t>
      </w:r>
    </w:p>
    <w:bookmarkEnd w:id="22"/>
    <w:bookmarkStart w:id="23" w:name="X4cd465f09ffd4de15b88195c9a00a9603b2a73b"/>
    <w:p>
      <w:pPr>
        <w:pStyle w:val="Heading3"/>
      </w:pPr>
      <w:r>
        <w:t xml:space="preserve">B. Labor Market and The Knowledge Economy</w:t>
      </w:r>
    </w:p>
    <w:p>
      <w:pPr>
        <w:pStyle w:val="FirstParagraph"/>
      </w:pPr>
      <w:r>
        <w:t xml:space="preserve">The economic engine of</w:t>
      </w:r>
      <w:r>
        <w:t xml:space="preserve"> </w:t>
      </w:r>
      <w:r>
        <w:rPr>
          <w:bCs/>
          <w:b/>
        </w:rPr>
        <w:t xml:space="preserve">Netherlands Amsterdam</w:t>
      </w:r>
      <w:r>
        <w:t xml:space="preserve">Economist</w:t>
      </w:r>
      <w:r>
        <w:t xml:space="preserve"> </w:t>
      </w:r>
      <w:r>
        <w:t xml:space="preserve">is increasingly powered by the knowledge economy. Industries such as fintech, artificial intelligence, and green energy are showing exponential growth trajectories within the city's boundaries. The influx of international talent has bolstered the human capital index of the region.</w:t>
      </w:r>
    </w:p>
    <w:p>
      <w:pPr>
        <w:pStyle w:val="BodyText"/>
      </w:pPr>
      <w:r>
        <w:t xml:space="preserve">However, structural issues persist regarding wage inequality and access to skilled labor for smaller enterprises. While multinational corporations in</w:t>
      </w:r>
      <w:r>
        <w:t xml:space="preserve"> </w:t>
      </w:r>
      <w:r>
        <w:rPr>
          <w:bCs/>
          <w:b/>
        </w:rPr>
        <w:t xml:space="preserve">Netherlands Amsterdam</w:t>
      </w:r>
      <w:r>
        <w:t xml:space="preserve"> </w:t>
      </w:r>
      <w:r>
        <w:t xml:space="preserve">thrive, small and medium-sized enterprises (SMEs) face challenges in attracting top-tier talent due to competitive salary benchmarks set by global tech giants. This dichotomy poses a risk to the diversity of the industrial ecosystem.</w:t>
      </w:r>
    </w:p>
    <w:p>
      <w:pPr>
        <w:pStyle w:val="BodyText"/>
      </w:pPr>
      <w:r>
        <w:t xml:space="preserve">IV. Sustainability and Infrastructure Investments</w:t>
      </w:r>
    </w:p>
    <w:bookmarkEnd w:id="23"/>
    <w:bookmarkStart w:id="24" w:name="a.-the-green-transition"/>
    <w:p>
      <w:pPr>
        <w:pStyle w:val="Heading3"/>
      </w:pPr>
      <w:r>
        <w:t xml:space="preserve">A. The Green Transition</w:t>
      </w:r>
    </w:p>
    <w:p>
      <w:pPr>
        <w:pStyle w:val="FirstParagraph"/>
      </w:pPr>
      <w:r>
        <w:t xml:space="preserve">Sustainability is not merely a regulatory requirement but an economic opportunity for</w:t>
      </w:r>
      <w:r>
        <w:t xml:space="preserve"> </w:t>
      </w:r>
      <w:r>
        <w:rPr>
          <w:bCs/>
          <w:b/>
        </w:rPr>
        <w:t xml:space="preserve">Netherlands Amsterdam</w:t>
      </w:r>
      <w:r>
        <w:t xml:space="preserve">. The city has positioned itself as a laboratory for green technology implementation, from district heating systems to electric public transport networks. Investments in renewable energy infrastructure are yielding measurable returns in terms of reduced carbon footprints and enhanced global reputation.</w:t>
      </w:r>
    </w:p>
    <w:p>
      <w:pPr>
        <w:pStyle w:val="BodyText"/>
      </w:pPr>
      <w:r>
        <w:t xml:space="preserve">The Economist framework highlights that such investments act as a catalyst for innovation-driven growth. By leading the charge in sustainable urban living,</w:t>
      </w:r>
      <w:r>
        <w:t xml:space="preserve"> </w:t>
      </w:r>
      <w:r>
        <w:rPr>
          <w:bCs/>
          <w:b/>
        </w:rPr>
        <w:t xml:space="preserve">Netherlands Amsterdam</w:t>
      </w:r>
      <w:r>
        <w:t xml:space="preserve"> </w:t>
      </w:r>
      <w:r>
        <w:t xml:space="preserve">attracts environmentally conscious investors and businesses. This strategic positioning aligns perfectly with broader European Union mandates, ensuring regulatory compliance while fostering economic resilience.</w:t>
      </w:r>
    </w:p>
    <w:bookmarkEnd w:id="24"/>
    <w:bookmarkStart w:id="25" w:name="b.-logistics-and-port-connectivity"/>
    <w:p>
      <w:pPr>
        <w:pStyle w:val="Heading3"/>
      </w:pPr>
      <w:r>
        <w:t xml:space="preserve">B. Logistics and Port Connectivity</w:t>
      </w:r>
    </w:p>
    <w:p>
      <w:pPr>
        <w:pStyle w:val="FirstParagraph"/>
      </w:pPr>
      <w:r>
        <w:t xml:space="preserve">The port of Rotterdam is frequently overshadowed by the cultural vibrancy of Amsterdam in popular discourse; however, the integrated logistics network connecting them forms the backbone of regional trade efficiency. For</w:t>
      </w:r>
      <w:r>
        <w:t xml:space="preserve"> </w:t>
      </w:r>
      <w:r>
        <w:rPr>
          <w:bCs/>
          <w:b/>
        </w:rPr>
        <w:t xml:space="preserve">Netherlands Amsterdam</w:t>
      </w:r>
      <w:r>
        <w:t xml:space="preserve">, accessibility remains a critical economic determinant. Infrastructure projects aimed at improving digital connectivity and physical transport links are essential to maintaining competitiveness.</w:t>
      </w:r>
    </w:p>
    <w:p>
      <w:pPr>
        <w:pStyle w:val="BodyText"/>
      </w:pPr>
      <w:r>
        <w:t xml:space="preserve">V. Critical Evaluation of Financial Policies</w:t>
      </w:r>
    </w:p>
    <w:p>
      <w:pPr>
        <w:pStyle w:val="BodyText"/>
      </w:pPr>
      <w:r>
        <w:t xml:space="preserve">Fiscal policies implemented in recent years have aimed at stimulating innovation while managing public debt levels effectively. The taxation framework in</w:t>
      </w:r>
      <w:r>
        <w:t xml:space="preserve"> </w:t>
      </w:r>
      <w:r>
        <w:rPr>
          <w:bCs/>
          <w:b/>
        </w:rPr>
        <w:t xml:space="preserve">Netherlands Amsterdam</w:t>
      </w:r>
      <w:r>
        <w:t xml:space="preserve">Economist</w:t>
      </w:r>
      <w:r>
        <w:t xml:space="preserve"> </w:t>
      </w:r>
      <w:r>
        <w:t xml:space="preserve">is viewed as generally competitive within the European context, though certain expatriate tax rulings have faced scrutiny from international regulatory bodies.</w:t>
      </w:r>
    </w:p>
    <w:p>
      <w:pPr>
        <w:pStyle w:val="BodyText"/>
      </w:pPr>
      <w:r>
        <w:t xml:space="preserve">The report identifies a need for greater transparency in fiscal incentives provided to multinational entities. Ensuring that tax policies do not erode the domestic revenue base is crucial for sustaining public services that underpin economic activity. The data suggests a balanced approach: maintaining competitive corporate rates while closing loopholes that facilitate aggressive tax avoidance.</w:t>
      </w:r>
    </w:p>
    <w:p>
      <w:pPr>
        <w:pStyle w:val="BodyText"/>
      </w:pPr>
      <w:r>
        <w:t xml:space="preserve">VI. Conclusion and Future Projections</w:t>
      </w:r>
    </w:p>
    <w:p>
      <w:pPr>
        <w:pStyle w:val="BodyText"/>
      </w:pPr>
      <w:r>
        <w:t xml:space="preserve">In conclusion, this laboratory report on the economics of</w:t>
      </w:r>
      <w:r>
        <w:t xml:space="preserve"> </w:t>
      </w:r>
      <w:r>
        <w:rPr>
          <w:bCs/>
          <w:b/>
        </w:rPr>
        <w:t xml:space="preserve">Netherlands Amsterdam</w:t>
      </w:r>
      <w:r>
        <w:t xml:space="preserve">Economist</w:t>
      </w:r>
      <w:r>
        <w:t xml:space="preserve"> </w:t>
      </w:r>
      <w:r>
        <w:t xml:space="preserve">outlines a complex yet promising economic trajectory. Despite significant challenges related to housing affordability and labor market segmentation, the city remains a robust center for global business and innovation.</w:t>
      </w:r>
    </w:p>
    <w:p>
      <w:pPr>
        <w:pStyle w:val="BodyText"/>
      </w:pPr>
      <w:r>
        <w:t xml:space="preserve">The synthesis of data confirms that strategic investments in sustainability, digital infrastructure, and talent acquisition will be vital for sustained growth. If policy interventions are implemented effectively—prioritizing supply-side solutions in housing education reform—the economic outlook for</w:t>
      </w:r>
      <w:r>
        <w:t xml:space="preserve"> </w:t>
      </w:r>
      <w:r>
        <w:rPr>
          <w:bCs/>
          <w:b/>
        </w:rPr>
        <w:t xml:space="preserve">Netherlands Amsterdam</w:t>
      </w:r>
      <w:r>
        <w:t xml:space="preserve"> </w:t>
      </w:r>
      <w:r>
        <w:t xml:space="preserve">remains positive. The insights provided herein serve as a foundational resource for policymakers and stakeholders aiming to navigate the future of this dynamic urban economy.</w:t>
      </w:r>
    </w:p>
    <w:p>
      <w:r>
        <w:pict>
          <v:rect style="width:0;height:1.5pt" o:hralign="center" o:hrstd="t" o:hr="t"/>
        </w:pict>
      </w:r>
    </w:p>
    <w:p>
      <w:pPr>
        <w:pStyle w:val="FirstParagraph"/>
      </w:pPr>
      <w:r>
        <w:t xml:space="preserve">VII. References and Appendices</w:t>
      </w:r>
    </w:p>
    <w:p>
      <w:pPr>
        <w:pStyle w:val="BodyText"/>
      </w:pPr>
      <w:r>
        <w:t xml:space="preserve">All analytical models referenced herein adhere to the standards set forth by The Economist Intelligence Unit (EIU). Specific datasets regarding municipal revenues, housing permits, and labor statistics in</w:t>
      </w:r>
      <w:r>
        <w:t xml:space="preserve"> </w:t>
      </w:r>
      <w:r>
        <w:rPr>
          <w:bCs/>
          <w:b/>
        </w:rPr>
        <w:t xml:space="preserve">Netherlands Amsterdam</w:t>
      </w:r>
      <w:r>
        <w:t xml:space="preserve">Economist</w:t>
      </w:r>
      <w:r>
        <w:t xml:space="preserve"> </w:t>
      </w:r>
      <w:r>
        <w:t xml:space="preserve">are available upon request through the designated institutional repository.</w:t>
      </w:r>
    </w:p>
    <w:p>
      <w:pPr>
        <w:numPr>
          <w:ilvl w:val="0"/>
          <w:numId w:val="1001"/>
        </w:numPr>
        <w:pStyle w:val="Compact"/>
      </w:pPr>
      <w:r>
        <w:t xml:space="preserve">Economist Intelligence Unit. (2024). City Futures Economic Outlook Reports.</w:t>
      </w:r>
    </w:p>
    <w:p>
      <w:pPr>
        <w:numPr>
          <w:ilvl w:val="0"/>
          <w:numId w:val="1001"/>
        </w:numPr>
        <w:pStyle w:val="Compact"/>
      </w:pPr>
      <w:r>
        <w:t xml:space="preserve">CBS Netherlands Central Bureau of Statistics. Regional Economic Indicators for Amsterdam Region, 2019-2024.</w:t>
      </w:r>
    </w:p>
    <w:p>
      <w:pPr>
        <w:numPr>
          <w:ilvl w:val="0"/>
          <w:numId w:val="1001"/>
        </w:numPr>
        <w:pStyle w:val="Compact"/>
      </w:pPr>
      <w:r>
        <w:t xml:space="preserve">Gemeente Amsterdam Municipal Policy Documents on Housing and Urban Development Strategies.</w:t>
      </w:r>
    </w:p>
    <w:bookmarkEnd w:id="25"/>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Economist Analysis in Netherlands Amsterdam</dc:title>
  <dc:creator/>
  <dc:language>en</dc:language>
  <cp:keywords/>
  <dcterms:created xsi:type="dcterms:W3CDTF">2026-07-29T07:03:11Z</dcterms:created>
  <dcterms:modified xsi:type="dcterms:W3CDTF">2026-07-29T07:03:11Z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