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Qatar</w:t>
      </w:r>
      <w:r>
        <w:t xml:space="preserve"> </w:t>
      </w:r>
      <w:r>
        <w:t xml:space="preserve">Doha</w:t>
      </w:r>
      <w:r>
        <w:t xml:space="preserve"> </w:t>
      </w:r>
      <w:r>
        <w:t xml:space="preserve">Context</w:t>
      </w:r>
      <w:r>
        <w:t xml:space="preserve"> </w:t>
      </w:r>
      <w:r>
        <w:t xml:space="preserve">Analysis</w:t>
      </w:r>
    </w:p>
    <w:bookmarkStart w:id="28" w:name="Xc692a4567077007ddba4aa1b3c1c071e3c58aab"/>
    <w:p>
      <w:pPr>
        <w:pStyle w:val="Heading1"/>
      </w:pPr>
      <w:r>
        <w:t xml:space="preserve">The Economist Lab Report: Economic Dynamics in Qatar Doha</w:t>
      </w:r>
    </w:p>
    <w:p>
      <w:pPr>
        <w:pStyle w:val="FirstParagraph"/>
      </w:pPr>
      <w:r>
        <w:rPr>
          <w:bCs/>
          <w:b/>
        </w:rPr>
        <w:t xml:space="preserve">Date:</w:t>
      </w:r>
    </w:p>
    <w:p>
      <w:pPr>
        <w:pStyle w:val="BodyText"/>
      </w:pPr>
      <w:bookmarkStart w:id="20" w:name="currentDate"/>
      <w:bookmarkEnd w:id="20"/>
    </w:p>
    <w:p>
      <w:pPr>
        <w:pStyle w:val="BodyText"/>
      </w:pPr>
      <w:r>
        <w:rPr>
          <w:bCs/>
          <w:b/>
        </w:rPr>
        <w:t xml:space="preserve">Subject:</w:t>
      </w:r>
      <w:r>
        <w:t xml:space="preserve">The Economist Analysis of Qatar Doha's Economic Trajectory</w:t>
      </w:r>
    </w:p>
    <w:p>
      <w:pPr>
        <w:pStyle w:val="BodyText"/>
      </w:pPr>
      <w:r>
        <w:rPr>
          <w:bCs/>
          <w:b/>
        </w:rPr>
        <w:t xml:space="preserve">Institution:</w:t>
      </w:r>
      <w:r>
        <w:t xml:space="preserve">Global Economic Research Division, The Economist Intelligence Unit (EIU)</w:t>
      </w:r>
    </w:p>
    <w:bookmarkStart w:id="21" w:name="introduction"/>
    <w:p>
      <w:pPr>
        <w:pStyle w:val="Heading2"/>
      </w:pPr>
      <w:r>
        <w:t xml:space="preserve">1. Introduction</w:t>
      </w:r>
    </w:p>
    <w:p>
      <w:pPr>
        <w:pStyle w:val="FirstParagraph"/>
      </w:pPr>
      <w:r>
        <w:t xml:space="preserve">The objective of this lab report is to dissect the contemporary economic landscape of</w:t>
      </w:r>
      <w:r>
        <w:t xml:space="preserve"> </w:t>
      </w:r>
      <w:r>
        <w:rPr>
          <w:bCs/>
          <w:b/>
        </w:rPr>
        <w:t xml:space="preserve">Qatar Doha</w:t>
      </w:r>
      <w:r>
        <w:t xml:space="preserve"> </w:t>
      </w:r>
      <w:r>
        <w:t xml:space="preserve">through the analytical lens provided by</w:t>
      </w:r>
      <w:r>
        <w:t xml:space="preserve"> </w:t>
      </w:r>
      <w:r>
        <w:rPr>
          <w:bCs/>
          <w:b/>
          <w:iCs/>
          <w:i/>
        </w:rPr>
        <w:t xml:space="preserve">The Economist</w:t>
      </w:r>
      <w:r>
        <w:t xml:space="preserve">. As a prominent global weekly newspaper and intelligence provider, The Economist offers a distinct perspective on international affairs, emphasizing free-market principles, globalization, and data-driven analysis. This report seeks to evaluate how the capital city of Doha functions not merely as an administrative hub for the State of Qatar but as a pivotal node in the global energy economy.</w:t>
      </w:r>
    </w:p>
    <w:p>
      <w:pPr>
        <w:pStyle w:val="BodyText"/>
      </w:pPr>
      <w:r>
        <w:t xml:space="preserve">The study focuses on three primary variables: post-World Cup infrastructure utilization, economic diversification away from hydrocarbons, and Doha’s evolving role in international diplomacy and finance. By applying The Economist's rigorous methodology, we aim to predict the sustainability of Qatar's growth model.</w:t>
      </w:r>
    </w:p>
    <w:bookmarkEnd w:id="21"/>
    <w:bookmarkStart w:id="22" w:name="methodology"/>
    <w:p>
      <w:pPr>
        <w:pStyle w:val="Heading2"/>
      </w:pPr>
      <w:r>
        <w:t xml:space="preserve">2. Methodology</w:t>
      </w:r>
    </w:p>
    <w:p>
      <w:pPr>
        <w:pStyle w:val="FirstParagraph"/>
      </w:pPr>
      <w:r>
        <w:t xml:space="preserve">To ensure a comprehensive analysis, this report utilizes a mixed-methods approach aligned with the journalistic standards of</w:t>
      </w:r>
      <w:r>
        <w:t xml:space="preserve"> </w:t>
      </w:r>
      <w:r>
        <w:rPr>
          <w:bCs/>
          <w:b/>
        </w:rPr>
        <w:t xml:space="preserve">The Economist</w:t>
      </w:r>
      <w:r>
        <w:t xml:space="preserve">. Primary data sources include recent EIU reports, IMF economic outlooks, and World Bank development indicators specific to Qatar. The analytical framework prioritizes quantitative metrics such as GDP per capita growth rates and inflation indices alongside qualitative assessments of political stability and regulatory reforms in</w:t>
      </w:r>
      <w:r>
        <w:t xml:space="preserve"> </w:t>
      </w:r>
      <w:r>
        <w:rPr>
          <w:bCs/>
          <w:b/>
        </w:rPr>
        <w:t xml:space="preserve">Qatar Doha</w:t>
      </w:r>
      <w:r>
        <w:t xml:space="preserve">.</w:t>
      </w:r>
    </w:p>
    <w:p>
      <w:pPr>
        <w:pStyle w:val="BodyText"/>
      </w:pPr>
      <w:r>
        <w:t xml:space="preserve">The Economist's editorial stance favors liberal internationalism; therefore, this report critically examines how state-led capitalism in Qatar interacts with global market forces. Special attention is paid to the resilience of the Qatari riyal and its peg to the US dollar, a cornerstone policy highlighted frequently by The Economist in Middle Eastern economic reviews.</w:t>
      </w:r>
    </w:p>
    <w:bookmarkEnd w:id="22"/>
    <w:bookmarkStart w:id="23" w:name="X840b053756a41db252150750ae62a353a8eba32"/>
    <w:p>
      <w:pPr>
        <w:pStyle w:val="Heading2"/>
      </w:pPr>
      <w:r>
        <w:t xml:space="preserve">3. Data Analysis: The Post-Liquefied Natural Gas (LNG) Era</w:t>
      </w:r>
    </w:p>
    <w:p>
      <w:pPr>
        <w:pStyle w:val="FirstParagraph"/>
      </w:pPr>
      <w:r>
        <w:t xml:space="preserve">The energy sector remains the backbone of Qatar's economy, with Doha serving as the headquarters for QatarEnergy.</w:t>
      </w:r>
      <w:r>
        <w:t xml:space="preserve"> </w:t>
      </w:r>
      <w:r>
        <w:rPr>
          <w:bCs/>
          <w:b/>
        </w:rPr>
        <w:t xml:space="preserve">The Economist</w:t>
      </w:r>
      <w:r>
        <w:t xml:space="preserve"> </w:t>
      </w:r>
      <w:r>
        <w:t xml:space="preserve">has long documented the strategic expansion of LNG production capacity in North Field. This section analyzes data regarding production volumes and global pricing mechanisms.</w:t>
      </w:r>
    </w:p>
    <w:tbl>
      <w:tblPr>
        <w:tblStyle w:val="Table"/>
        <w:tblW w:type="auto" w:w="0"/>
        <w:tblLook w:firstRow="1" w:lastRow="0" w:firstColumn="0" w:lastColumn="0" w:noHBand="0" w:noVBand="0" w:val="0020"/>
      </w:tblPr>
      <w:tblGrid>
        <w:gridCol w:w="3960"/>
        <w:gridCol w:w="3960"/>
      </w:tblGrid>
      <w:tr>
        <w:trPr>
          <w:tblHeader w:val="true"/>
        </w:trPr>
        <w:tc>
          <w:tcPr>
            <w:gridSpan w:val="2"/>
          </w:tcPr>
          <w:p>
            <w:pPr>
              <w:pStyle w:val="Compact"/>
              <w:jc w:val="left"/>
            </w:pPr>
            <w:r>
              <w:t xml:space="preserve">Table 1: Key Economic Indicators for Qatar Doha (Projected)</w:t>
            </w:r>
          </w:p>
        </w:tc>
      </w:tr>
      <w:tr>
        <w:tc>
          <w:tcPr/>
          <w:p>
            <w:pPr>
              <w:pStyle w:val="Compact"/>
              <w:jc w:val="left"/>
            </w:pPr>
            <w:r>
              <w:t xml:space="preserve">GDP Growth Rate</w:t>
            </w:r>
          </w:p>
        </w:tc>
        <w:tc>
          <w:tcPr/>
          <w:p>
            <w:pPr>
              <w:pStyle w:val="Compact"/>
              <w:jc w:val="left"/>
            </w:pPr>
            <w:r>
              <w:t xml:space="preserve">3.5% - 4.2%</w:t>
            </w:r>
          </w:p>
        </w:tc>
      </w:tr>
      <w:tr>
        <w:tc>
          <w:tcPr/>
          <w:p>
            <w:pPr>
              <w:pStyle w:val="Compact"/>
              <w:jc w:val="left"/>
            </w:pPr>
            <w:r>
              <w:t xml:space="preserve">Inflation Rate (Core)</w:t>
            </w:r>
          </w:p>
        </w:tc>
        <w:tc>
          <w:tcPr/>
          <w:p>
            <w:pPr>
              <w:pStyle w:val="Compact"/>
              <w:jc w:val="left"/>
            </w:pPr>
            <w:r>
              <w:t xml:space="preserve">1.5% - 2.0%</w:t>
            </w:r>
          </w:p>
        </w:tc>
      </w:tr>
      <w:tr>
        <w:tc>
          <w:tcPr/>
          <w:p>
            <w:pPr>
              <w:pStyle w:val="Compact"/>
              <w:jc w:val="left"/>
            </w:pPr>
            <w:r>
              <w:t xml:space="preserve">FDI Inflows (Net)</w:t>
            </w:r>
          </w:p>
        </w:tc>
        <w:tc>
          <w:tcPr/>
          <w:p>
            <w:pPr>
              <w:pStyle w:val="Compact"/>
              <w:jc w:val="left"/>
            </w:pPr>
            <w:r>
              <w:t xml:space="preserve">$4.2 Billion (Annual Avg.)</w:t>
            </w:r>
          </w:p>
        </w:tc>
      </w:tr>
    </w:tbl>
    <w:bookmarkEnd w:id="23"/>
    <w:bookmarkStart w:id="24" w:name="Xe2556da666703fb2fdc371f243480de83170040"/>
    <w:p>
      <w:pPr>
        <w:pStyle w:val="Heading2"/>
      </w:pPr>
      <w:r>
        <w:t xml:space="preserve">4. Discussion: Diversification and the Doha Financial Center</w:t>
      </w:r>
    </w:p>
    <w:p>
      <w:pPr>
        <w:pStyle w:val="FirstParagraph"/>
      </w:pPr>
      <w:r>
        <w:t xml:space="preserve">A recurring theme in</w:t>
      </w:r>
      <w:r>
        <w:t xml:space="preserve"> </w:t>
      </w:r>
      <w:r>
        <w:rPr>
          <w:bCs/>
          <w:b/>
          <w:iCs/>
          <w:i/>
        </w:rPr>
        <w:t xml:space="preserve">The Economist</w:t>
      </w:r>
      <w:r>
        <w:t xml:space="preserve">'s coverage of the Middle East is the necessity for diversification away from resource dependency. In</w:t>
      </w:r>
      <w:r>
        <w:t xml:space="preserve"> </w:t>
      </w:r>
      <w:r>
        <w:rPr>
          <w:bCs/>
          <w:b/>
        </w:rPr>
        <w:t xml:space="preserve">Qatar Doha</w:t>
      </w:r>
      <w:r>
        <w:t xml:space="preserve">, this effort is manifesting through the establishment of specialized free zones and financial hubs. The Doha Financial Centre (DFC) represents a significant step toward integrating Qatar into global capital markets.</w:t>
      </w:r>
    </w:p>
    <w:p>
      <w:pPr>
        <w:pStyle w:val="BodyText"/>
      </w:pPr>
      <w:r>
        <w:t xml:space="preserve">The Economist argues that while hydrocarbon revenues provide fiscal buffers, long-term stability requires a robust private sector. Recent policy shifts in Doha, including eased foreign ownership laws and the introduction of new corporate tax frameworks, signal a maturing business environment. However, challenges remain regarding labor market reforms and the integration of local talent into high-value service sectors.</w:t>
      </w:r>
    </w:p>
    <w:p>
      <w:pPr>
        <w:pStyle w:val="BlockText"/>
      </w:pPr>
      <w:r>
        <w:t xml:space="preserve">"Qatar’s strategy is not just about selling gas; it is about positioning Doha as a global connector. The Economist observes that this dual role—as energy supplier and diplomatic intermediary—creates a unique geopolitical leverage."</w:t>
      </w:r>
    </w:p>
    <w:bookmarkEnd w:id="24"/>
    <w:bookmarkStart w:id="25" w:name="Xcba21b9ad5519fcbcaa2a2920800b1b400633d6"/>
    <w:p>
      <w:pPr>
        <w:pStyle w:val="Heading2"/>
      </w:pPr>
      <w:r>
        <w:t xml:space="preserve">5. Case Study: The Legacy of the World Cup and Urban Development</w:t>
      </w:r>
    </w:p>
    <w:p>
      <w:pPr>
        <w:pStyle w:val="FirstParagraph"/>
      </w:pPr>
      <w:r>
        <w:t xml:space="preserve">The successful hosting of the FIFA World Cup provided a catalyst for massive infrastructural development in</w:t>
      </w:r>
      <w:r>
        <w:t xml:space="preserve"> </w:t>
      </w:r>
      <w:r>
        <w:rPr>
          <w:bCs/>
          <w:b/>
        </w:rPr>
        <w:t xml:space="preserve">Qatar Doha</w:t>
      </w:r>
      <w:r>
        <w:t xml:space="preserve">. From the perspective of</w:t>
      </w:r>
      <w:r>
        <w:t xml:space="preserve"> </w:t>
      </w:r>
      <w:r>
        <w:rPr>
          <w:bCs/>
          <w:b/>
          <w:iCs/>
          <w:i/>
        </w:rPr>
        <w:t xml:space="preserve">The Economist</w:t>
      </w:r>
      <w:r>
        <w:t xml:space="preserve">, such mega-projects must yield sustainable economic returns to justify their costs. This case study evaluates the utilization rates of stadiums, transport networks, and housing projects.</w:t>
      </w:r>
    </w:p>
    <w:p>
      <w:pPr>
        <w:pStyle w:val="BodyText"/>
      </w:pPr>
      <w:r>
        <w:t xml:space="preserve">While initial concerns about "white elephants" persisted, early data suggests that improved public transport systems (such as the Doha Metro) have enhanced urban mobility and productivity. The report highlights that sustained investment in tourism infrastructure is crucial to converting sports legacy into long-term economic gains.</w:t>
      </w:r>
    </w:p>
    <w:bookmarkEnd w:id="25"/>
    <w:bookmarkStart w:id="26" w:name="conclusion"/>
    <w:p>
      <w:pPr>
        <w:pStyle w:val="Heading2"/>
      </w:pPr>
      <w:r>
        <w:t xml:space="preserve">6. Conclusion</w:t>
      </w:r>
    </w:p>
    <w:p>
      <w:pPr>
        <w:pStyle w:val="FirstParagraph"/>
      </w:pPr>
      <w:r>
        <w:t xml:space="preserve">This lab report concludes that</w:t>
      </w:r>
      <w:r>
        <w:t xml:space="preserve"> </w:t>
      </w:r>
      <w:r>
        <w:rPr>
          <w:bCs/>
          <w:b/>
        </w:rPr>
        <w:t xml:space="preserve">Qatar Doha</w:t>
      </w:r>
      <w:r>
        <w:t xml:space="preserve"> </w:t>
      </w:r>
      <w:r>
        <w:t xml:space="preserve">stands at a critical juncture in its economic evolution. Guided by the analytical frameworks often employed by</w:t>
      </w:r>
      <w:r>
        <w:t xml:space="preserve"> </w:t>
      </w:r>
      <w:r>
        <w:rPr>
          <w:bCs/>
          <w:b/>
          <w:iCs/>
          <w:i/>
        </w:rPr>
        <w:t xml:space="preserve">The Economist</w:t>
      </w:r>
      <w:r>
        <w:t xml:space="preserve">, it is evident that while the hydrocarbon sector remains vital, the diversification agenda offers promising avenues for future growth.</w:t>
      </w:r>
    </w:p>
    <w:p>
      <w:pPr>
        <w:pStyle w:val="BodyText"/>
      </w:pPr>
      <w:r>
        <w:t xml:space="preserve">The resilience of Doha's economy lies in its prudent fiscal management and strategic geopolitical positioning. However, continuous reform in labor laws and private sector regulation will be essential to maintain investor confidence. As a global hub,</w:t>
      </w:r>
      <w:r>
        <w:t xml:space="preserve"> </w:t>
      </w:r>
      <w:r>
        <w:rPr>
          <w:bCs/>
          <w:b/>
        </w:rPr>
        <w:t xml:space="preserve">Qatar Doha</w:t>
      </w:r>
      <w:r>
        <w:t xml:space="preserve"> </w:t>
      </w:r>
      <w:r>
        <w:t xml:space="preserve">must navigate increasing regional competition while leveraging its unique strengths as a financial and logistical center.</w:t>
      </w:r>
    </w:p>
    <w:p>
      <w:pPr>
        <w:pStyle w:val="BodyText"/>
      </w:pPr>
      <w:r>
        <w:rPr>
          <w:bCs/>
          <w:b/>
          <w:iCs/>
          <w:i/>
        </w:rPr>
        <w:t xml:space="preserve">The Economist</w:t>
      </w:r>
      <w:r>
        <w:t xml:space="preserve">'s influence in shaping this discourse underscores the importance of transparent, market-oriented policies. For stakeholders observing</w:t>
      </w:r>
      <w:r>
        <w:t xml:space="preserve"> </w:t>
      </w:r>
      <w:r>
        <w:rPr>
          <w:bCs/>
          <w:b/>
        </w:rPr>
        <w:t xml:space="preserve">Qatar Doha</w:t>
      </w:r>
      <w:r>
        <w:t xml:space="preserve">, the outlook remains cautiously optimistic, provided that structural reforms keep pace with global economic shifts.</w:t>
      </w:r>
    </w:p>
    <w:bookmarkEnd w:id="26"/>
    <w:bookmarkStart w:id="27" w:name="references-and-bibliography"/>
    <w:p>
      <w:pPr>
        <w:pStyle w:val="Heading2"/>
      </w:pPr>
      <w:r>
        <w:t xml:space="preserve">7. References and Bibliography</w:t>
      </w:r>
    </w:p>
    <w:p>
      <w:pPr>
        <w:pStyle w:val="FirstParagraph"/>
      </w:pPr>
      <w:r>
        <w:t xml:space="preserve">The Economist Intelligence Unit (EIU). Country Profiles: Qatar.</w:t>
      </w:r>
    </w:p>
    <w:p>
      <w:pPr>
        <w:numPr>
          <w:ilvl w:val="0"/>
          <w:numId w:val="1003"/>
        </w:numPr>
        <w:pStyle w:val="Compact"/>
      </w:pPr>
      <w:r>
        <w:t xml:space="preserve">IMF Staff Country Reports: Republic of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 Qatar Doha Context Analysis</dc:title>
  <dc:creator/>
  <dc:language>en</dc:language>
  <cp:keywords/>
  <dcterms:created xsi:type="dcterms:W3CDTF">2026-07-29T10:35:14Z</dcterms:created>
  <dcterms:modified xsi:type="dcterms:W3CDTF">2026-07-29T10:35:14Z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