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Economic</w:t>
      </w:r>
      <w:r>
        <w:t xml:space="preserve"> </w:t>
      </w:r>
      <w:r>
        <w:t xml:space="preserve">Analysis</w:t>
      </w:r>
      <w:r>
        <w:t xml:space="preserve"> </w:t>
      </w:r>
      <w:r>
        <w:t xml:space="preserve">in</w:t>
      </w:r>
      <w:r>
        <w:t xml:space="preserve"> </w:t>
      </w:r>
      <w:r>
        <w:t xml:space="preserve">Russia</w:t>
      </w:r>
      <w:r>
        <w:t xml:space="preserve"> </w:t>
      </w:r>
      <w:r>
        <w:t xml:space="preserve">Moscow</w:t>
      </w:r>
    </w:p>
    <w:bookmarkStart w:id="27" w:name="X86d3ba88abaea112597696f6b28490da4a26d9c"/>
    <w:p>
      <w:pPr>
        <w:pStyle w:val="Heading1"/>
      </w:pPr>
      <w:r>
        <w:rPr>
          <w:bCs/>
          <w:b/>
        </w:rPr>
        <w:t xml:space="preserve">Lab Report: Comprehensive Economic Analysis of the Economist Landscape in Russia Moscow</w:t>
      </w:r>
    </w:p>
    <w:p>
      <w:pPr>
        <w:pStyle w:val="FirstParagraph"/>
      </w:pPr>
      <w:r>
        <w:br/>
      </w:r>
      <w:r>
        <w:br/>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Institute for Regional Economic Studies</w:t>
      </w:r>
      <w:r>
        <w:br/>
      </w:r>
      <w:r>
        <w:rPr>
          <w:bCs/>
          <w:b/>
        </w:rPr>
        <w:t xml:space="preserve">Author:</w:t>
      </w:r>
      <w:r>
        <w:t xml:space="preserve"> </w:t>
      </w:r>
      <w:r>
        <w:t xml:space="preserve">Senior Analyst Unit A</w:t>
      </w:r>
    </w:p>
    <w:p>
      <w:r>
        <w:pict>
          <v:rect style="width:0;height:1.5pt" o:hralign="center" o:hrstd="t" o:hr="t"/>
        </w:pict>
      </w:r>
    </w:p>
    <w:bookmarkStart w:id="20" w:name="i.-executive-summary"/>
    <w:p>
      <w:pPr>
        <w:pStyle w:val="Heading2"/>
      </w:pPr>
      <w:r>
        <w:rPr>
          <w:u w:val="single"/>
        </w:rPr>
        <w:t xml:space="preserve">I. Executive Summary</w:t>
      </w:r>
    </w:p>
    <w:p>
      <w:pPr>
        <w:pStyle w:val="FirstParagraph"/>
      </w:pPr>
      <w:r>
        <w:br/>
      </w:r>
      <w:r>
        <w:t xml:space="preserve">The purpose of this laboratory report is to conduct a rigorous examination of the economic dynamics currently influencing</w:t>
      </w:r>
      <w:r>
        <w:t xml:space="preserve"> </w:t>
      </w:r>
      <w:r>
        <w:rPr>
          <w:bCs/>
          <w:b/>
        </w:rPr>
        <w:t xml:space="preserve">Russia Moscow</w:t>
      </w:r>
      <w:r>
        <w:t xml:space="preserve">. As the capital city serves as the primary engine for national growth, its local economy presents a unique case study within the broader context of international markets. This document details our investigation into how modern</w:t>
      </w:r>
      <w:r>
        <w:t xml:space="preserve"> </w:t>
      </w:r>
      <w:r>
        <w:rPr>
          <w:bCs/>
          <w:b/>
        </w:rPr>
        <w:t xml:space="preserve">Economist</w:t>
      </w:r>
      <w:r>
        <w:t xml:space="preserve"> </w:t>
      </w:r>
      <w:r>
        <w:t xml:space="preserve">theories apply to the specific geopolitical and structural realities observed in this major metropolitan area. Our findings suggest that while traditional metrics indicate volatility, localized policy interventions and digital infrastructure development have created resilient micro-economies within the city center. The report concludes with actionable insights for stakeholders interested in navigating the complex financial landscape of</w:t>
      </w:r>
      <w:r>
        <w:t xml:space="preserve"> </w:t>
      </w:r>
      <w:r>
        <w:rPr>
          <w:bCs/>
          <w:b/>
        </w:rPr>
        <w:t xml:space="preserve">Russia Moscow</w:t>
      </w:r>
      <w:r>
        <w:t xml:space="preserve">.</w:t>
      </w:r>
    </w:p>
    <w:bookmarkEnd w:id="20"/>
    <w:bookmarkStart w:id="21" w:name="ii.-introduction-and-objectives"/>
    <w:p>
      <w:pPr>
        <w:pStyle w:val="Heading2"/>
      </w:pPr>
      <w:r>
        <w:rPr>
          <w:u w:val="single"/>
        </w:rPr>
        <w:t xml:space="preserve">II. Introduction and Objectives</w:t>
      </w:r>
    </w:p>
    <w:p>
      <w:pPr>
        <w:pStyle w:val="FirstParagraph"/>
      </w:pPr>
      <w:r>
        <w:br/>
      </w:r>
      <w:r>
        <w:rPr>
          <w:bCs/>
          <w:b/>
        </w:rPr>
        <w:t xml:space="preserve">Russia Moscow</w:t>
      </w:r>
      <w:r>
        <w:t xml:space="preserve"> </w:t>
      </w:r>
      <w:r>
        <w:t xml:space="preserve">represents a convergence point of historical economic weight and modern technological ambition. The objective of this lab report is to analyze the interplay between macroeconomic policies enacted at the federal level and their microeconomic manifestations on the streets of</w:t>
      </w:r>
      <w:r>
        <w:t xml:space="preserve"> </w:t>
      </w:r>
      <w:r>
        <w:rPr>
          <w:bCs/>
          <w:b/>
        </w:rPr>
        <w:t xml:space="preserve">Russia Moscow</w:t>
      </w:r>
      <w:r>
        <w:t xml:space="preserve">.</w:t>
      </w:r>
      <w:r>
        <w:t xml:space="preserve"> </w:t>
      </w:r>
      <w:r>
        <w:t xml:space="preserve">Central to this analysis is the role of the</w:t>
      </w:r>
      <w:r>
        <w:t xml:space="preserve"> </w:t>
      </w:r>
      <w:r>
        <w:rPr>
          <w:bCs/>
          <w:b/>
        </w:rPr>
        <w:t xml:space="preserve">Economist</w:t>
      </w:r>
      <w:r>
        <w:t xml:space="preserve"> </w:t>
      </w:r>
      <w:r>
        <w:t xml:space="preserve">perspective. We aim to answer three core questions:</w:t>
      </w:r>
      <w:r>
        <w:t xml:space="preserve"> </w:t>
      </w:r>
      <w:r>
        <w:t xml:space="preserve">1. How has inflation impacted consumer behavior specifically within districts of</w:t>
      </w:r>
      <w:r>
        <w:t xml:space="preserve"> </w:t>
      </w:r>
      <w:r>
        <w:rPr>
          <w:bCs/>
          <w:b/>
        </w:rPr>
        <w:t xml:space="preserve">Russia Moscow</w:t>
      </w:r>
      <w:r>
        <w:t xml:space="preserve">?</w:t>
      </w:r>
      <w:r>
        <w:t xml:space="preserve"> </w:t>
      </w:r>
      <w:r>
        <w:t xml:space="preserve">2. What is the current status of foreign direct investment (FDI) flows, and how do they compare to historical averages?</w:t>
      </w:r>
      <w:r>
        <w:t xml:space="preserve"> </w:t>
      </w:r>
      <w:r>
        <w:t xml:space="preserve">3. In what ways does the professional role of an</w:t>
      </w:r>
      <w:r>
        <w:t xml:space="preserve"> </w:t>
      </w:r>
      <w:r>
        <w:rPr>
          <w:bCs/>
          <w:b/>
        </w:rPr>
        <w:t xml:space="preserve">Economist</w:t>
      </w:r>
      <w:r>
        <w:t xml:space="preserve"> </w:t>
      </w:r>
      <w:r>
        <w:t xml:space="preserve">need to adapt when advising clients in this specific geographic market?</w:t>
      </w:r>
      <w:r>
        <w:t xml:space="preserve"> </w:t>
      </w:r>
      <w:r>
        <w:t xml:space="preserve">Understanding these factors is crucial for any entity seeking stability in the region. The unique status of</w:t>
      </w:r>
      <w:r>
        <w:t xml:space="preserve"> </w:t>
      </w:r>
      <w:r>
        <w:rPr>
          <w:bCs/>
          <w:b/>
        </w:rPr>
        <w:t xml:space="preserve">Russia Moscow</w:t>
      </w:r>
      <w:r>
        <w:t xml:space="preserve"> </w:t>
      </w:r>
      <w:r>
        <w:t xml:space="preserve">as a financial hub requires a nuanced approach that goes beyond standard global averages.</w:t>
      </w:r>
    </w:p>
    <w:bookmarkEnd w:id="21"/>
    <w:bookmarkStart w:id="22" w:name="iii.-methodology"/>
    <w:p>
      <w:pPr>
        <w:pStyle w:val="Heading2"/>
      </w:pPr>
      <w:r>
        <w:rPr>
          <w:u w:val="single"/>
        </w:rPr>
        <w:t xml:space="preserve">III. Methodology</w:t>
      </w:r>
    </w:p>
    <w:p>
      <w:pPr>
        <w:pStyle w:val="FirstParagraph"/>
      </w:pPr>
      <w:r>
        <w:br/>
      </w:r>
      <w:r>
        <w:t xml:space="preserve">To ensure the integrity of this report, we employed a mixed-methods approach combining quantitative data analysis with qualitative field observations conducted in</w:t>
      </w:r>
      <w:r>
        <w:t xml:space="preserve"> </w:t>
      </w:r>
      <w:r>
        <w:rPr>
          <w:bCs/>
          <w:b/>
        </w:rPr>
        <w:t xml:space="preserve">Russia Moscow</w:t>
      </w:r>
      <w:r>
        <w:t xml:space="preserve">.</w:t>
      </w:r>
      <w:r>
        <w:t xml:space="preserve"> </w:t>
      </w:r>
      <w:r>
        <w:rPr>
          <w:bCs/>
          <w:b/>
        </w:rPr>
        <w:t xml:space="preserve">Data Collection:</w:t>
      </w:r>
      <w:r>
        <w:t xml:space="preserve"> </w:t>
      </w:r>
      <w:r>
        <w:t xml:space="preserve">We gathered primary data from the Federal State Statistics Service regarding price indices, wage growth, and employment rates specific to the federal city of Moscow. Secondary data was sourced from international financial institutions and local banking reports.</w:t>
      </w:r>
      <w:r>
        <w:t xml:space="preserve"> </w:t>
      </w:r>
      <w:r>
        <w:rPr>
          <w:bCs/>
          <w:b/>
        </w:rPr>
        <w:t xml:space="preserve">Analytical Framework:</w:t>
      </w:r>
      <w:r>
        <w:t xml:space="preserve"> </w:t>
      </w:r>
      <w:r>
        <w:t xml:space="preserve">The analysis was framed through the lens of modern economic theory, requiring each</w:t>
      </w:r>
      <w:r>
        <w:t xml:space="preserve"> </w:t>
      </w:r>
      <w:r>
        <w:rPr>
          <w:bCs/>
          <w:b/>
        </w:rPr>
        <w:t xml:space="preserve">Economist</w:t>
      </w:r>
      <w:r>
        <w:t xml:space="preserve"> </w:t>
      </w:r>
      <w:r>
        <w:t xml:space="preserve">on our team to apply Keynesian and Monetarist models to adjust for local anomalies such as currency fluctuation and supply chain disruptions. Special attention was paid to the service sector, retail trade, and real estate markets within</w:t>
      </w:r>
      <w:r>
        <w:t xml:space="preserve"> </w:t>
      </w:r>
      <w:r>
        <w:rPr>
          <w:bCs/>
          <w:b/>
        </w:rPr>
        <w:t xml:space="preserve">Russia Moscow</w:t>
      </w:r>
      <w:r>
        <w:t xml:space="preserve">.</w:t>
      </w:r>
    </w:p>
    <w:bookmarkEnd w:id="22"/>
    <w:bookmarkStart w:id="23" w:name="Xbf32de8deb2acf3ebc6a6309a9a503c144ba2f9"/>
    <w:p>
      <w:pPr>
        <w:pStyle w:val="Heading2"/>
      </w:pPr>
      <w:r>
        <w:rPr>
          <w:u w:val="single"/>
        </w:rPr>
        <w:t xml:space="preserve">IV. Findings: The Economic Landscape of Russia Moscow</w:t>
      </w:r>
    </w:p>
    <w:p>
      <w:pPr>
        <w:pStyle w:val="FirstParagraph"/>
      </w:pPr>
      <w:r>
        <w:br/>
      </w:r>
      <w:r>
        <w:rPr>
          <w:bCs/>
          <w:b/>
        </w:rPr>
        <w:t xml:space="preserve">A. Inflationary Pressures and Consumer Behavior</w:t>
      </w:r>
      <w:r>
        <w:t xml:space="preserve"> </w:t>
      </w:r>
      <w:r>
        <w:t xml:space="preserve">Our data indicates that while national inflation rates have shown signs of stabilization, the cost of living in</w:t>
      </w:r>
      <w:r>
        <w:t xml:space="preserve"> </w:t>
      </w:r>
      <w:r>
        <w:rPr>
          <w:bCs/>
          <w:b/>
        </w:rPr>
        <w:t xml:space="preserve">Russia Moscow</w:t>
      </w:r>
      <w:r>
        <w:t xml:space="preserve"> </w:t>
      </w:r>
      <w:r>
        <w:t xml:space="preserve">remains elevated compared to other regional centers. The price elasticity of demand for non-essential goods has decreased significantly, suggesting a shift toward essential consumption among residents. For an</w:t>
      </w:r>
      <w:r>
        <w:t xml:space="preserve"> </w:t>
      </w:r>
      <w:r>
        <w:rPr>
          <w:bCs/>
          <w:b/>
        </w:rPr>
        <w:t xml:space="preserve">Economist</w:t>
      </w:r>
      <w:r>
        <w:t xml:space="preserve"> </w:t>
      </w:r>
      <w:r>
        <w:t xml:space="preserve">analyzing this trend, it is vital to note that consumer confidence is heavily influenced by local employment stability rather than just global market trends.</w:t>
      </w:r>
      <w:r>
        <w:t xml:space="preserve"> </w:t>
      </w:r>
      <w:r>
        <w:rPr>
          <w:bCs/>
          <w:b/>
        </w:rPr>
        <w:t xml:space="preserve">B. Labor Market Dynamics</w:t>
      </w:r>
      <w:r>
        <w:t xml:space="preserve"> </w:t>
      </w:r>
      <w:r>
        <w:t xml:space="preserve">The labor market in</w:t>
      </w:r>
      <w:r>
        <w:t xml:space="preserve"> </w:t>
      </w:r>
      <w:r>
        <w:rPr>
          <w:bCs/>
          <w:b/>
        </w:rPr>
        <w:t xml:space="preserve">Russia Moscow</w:t>
      </w:r>
      <w:r>
        <w:t xml:space="preserve"> </w:t>
      </w:r>
      <w:r>
        <w:t xml:space="preserve">exhibits a paradoxical tightness. Despite broader national challenges, the demand for skilled professionals in finance, technology, and logistics within the capital remains high. Wages have adjusted upward to match inflation, but purchasing power parity has slightly eroded. This trend requires every dedicated</w:t>
      </w:r>
      <w:r>
        <w:t xml:space="preserve"> </w:t>
      </w:r>
      <w:r>
        <w:rPr>
          <w:bCs/>
          <w:b/>
        </w:rPr>
        <w:t xml:space="preserve">Economist</w:t>
      </w:r>
      <w:r>
        <w:t xml:space="preserve"> </w:t>
      </w:r>
      <w:r>
        <w:t xml:space="preserve">to closely monitor wage-price spirals in specific sectors such as IT and banking.</w:t>
      </w:r>
      <w:r>
        <w:t xml:space="preserve"> </w:t>
      </w:r>
      <w:r>
        <w:rPr>
          <w:bCs/>
          <w:b/>
        </w:rPr>
        <w:t xml:space="preserve">C. Real Estate and Commercial Activity</w:t>
      </w:r>
      <w:r>
        <w:t xml:space="preserve">Commercial real estate in</w:t>
      </w:r>
      <w:r>
        <w:t xml:space="preserve"> </w:t>
      </w:r>
      <w:r>
        <w:rPr>
          <w:bCs/>
          <w:b/>
        </w:rPr>
        <w:t xml:space="preserve">Russia Moscow</w:t>
      </w:r>
      <w:r>
        <w:t xml:space="preserve"> </w:t>
      </w:r>
      <w:r>
        <w:t xml:space="preserve">is undergoing a structural transition. The shift toward hybrid work models has reduced demand for traditional office space, leading to a repurposing of assets into mixed-use developments. Residential prices have remained robust due to limited inventory and high demand from domestic migration into the capital. An astute</w:t>
      </w:r>
      <w:r>
        <w:t xml:space="preserve"> </w:t>
      </w:r>
      <w:r>
        <w:rPr>
          <w:bCs/>
          <w:b/>
        </w:rPr>
        <w:t xml:space="preserve">Economist</w:t>
      </w:r>
      <w:r>
        <w:t xml:space="preserve"> </w:t>
      </w:r>
      <w:r>
        <w:t xml:space="preserve">would identify this as a key area for long-term investment stability, distinguishing it from more volatile speculative markets.</w:t>
      </w:r>
    </w:p>
    <w:bookmarkEnd w:id="23"/>
    <w:bookmarkStart w:id="24" w:name="Xda05e7eec5d89aa2a85b0f5459f6e66a8300ca6"/>
    <w:p>
      <w:pPr>
        <w:pStyle w:val="Heading2"/>
      </w:pPr>
      <w:r>
        <w:rPr>
          <w:u w:val="single"/>
        </w:rPr>
        <w:t xml:space="preserve">V. Discussion: The Role of the Economist in Crisis Adaptation</w:t>
      </w:r>
    </w:p>
    <w:p>
      <w:pPr>
        <w:pStyle w:val="FirstParagraph"/>
      </w:pPr>
      <w:r>
        <w:br/>
      </w:r>
      <w:r>
        <w:t xml:space="preserve">The current environment in</w:t>
      </w:r>
      <w:r>
        <w:t xml:space="preserve"> </w:t>
      </w:r>
      <w:r>
        <w:rPr>
          <w:bCs/>
          <w:b/>
        </w:rPr>
        <w:t xml:space="preserve">Russia Moscow</w:t>
      </w:r>
      <w:r>
        <w:t xml:space="preserve"> </w:t>
      </w:r>
      <w:r>
        <w:t xml:space="preserve">necessitates a re-evaluation of traditional economic forecasting methods. Sanctions and geopolitical tensions have introduced variables that were previously considered external shocks but are now embedded structural realities.</w:t>
      </w:r>
      <w:r>
        <w:t xml:space="preserve"> </w:t>
      </w:r>
      <w:r>
        <w:t xml:space="preserve">For an</w:t>
      </w:r>
      <w:r>
        <w:t xml:space="preserve"> </w:t>
      </w:r>
      <w:r>
        <w:rPr>
          <w:bCs/>
          <w:b/>
        </w:rPr>
        <w:t xml:space="preserve">Economist</w:t>
      </w:r>
      <w:r>
        <w:t xml:space="preserve">, the challenge lies in decoupling global narrative noise from local ground truth. Our analysis reveals that the economy of</w:t>
      </w:r>
      <w:r>
        <w:t xml:space="preserve"> </w:t>
      </w:r>
      <w:r>
        <w:rPr>
          <w:bCs/>
          <w:b/>
        </w:rPr>
        <w:t xml:space="preserve">Russia Moscow</w:t>
      </w:r>
      <w:r>
        <w:t xml:space="preserve"> </w:t>
      </w:r>
      <w:r>
        <w:t xml:space="preserve">is more self-sufficient and internally driven than often portrayed by international media. Local businesses have successfully pivoted to domestic supply chains, mitigating some external pressures. Therefore, an</w:t>
      </w:r>
      <w:r>
        <w:t xml:space="preserve"> </w:t>
      </w:r>
      <w:r>
        <w:rPr>
          <w:bCs/>
          <w:b/>
        </w:rPr>
        <w:t xml:space="preserve">Economist</w:t>
      </w:r>
      <w:r>
        <w:t xml:space="preserve"> </w:t>
      </w:r>
      <w:r>
        <w:t xml:space="preserve">advising on this market must prioritize local liquidity flows and domestic consumption patterns over global trade metrics.</w:t>
      </w:r>
      <w:r>
        <w:t xml:space="preserve"> </w:t>
      </w:r>
      <w:r>
        <w:t xml:space="preserve">Furthermore, the digitalization of services in</w:t>
      </w:r>
      <w:r>
        <w:t xml:space="preserve"> </w:t>
      </w:r>
      <w:r>
        <w:rPr>
          <w:bCs/>
          <w:b/>
        </w:rPr>
        <w:t xml:space="preserve">Russia Moscow</w:t>
      </w:r>
      <w:r>
        <w:t xml:space="preserve"> </w:t>
      </w:r>
      <w:r>
        <w:t xml:space="preserve">has accelerated economic efficiency. The widespread adoption of digital payments and e-commerce platforms has created a transparent economic record that was previously less accessible. This provides economists with better real-time data for forecasting, enhancing the accuracy of their models for this specific region.</w:t>
      </w:r>
    </w:p>
    <w:bookmarkEnd w:id="24"/>
    <w:bookmarkStart w:id="25" w:name="vi.-conclusion"/>
    <w:p>
      <w:pPr>
        <w:pStyle w:val="Heading2"/>
      </w:pPr>
      <w:r>
        <w:rPr>
          <w:u w:val="single"/>
        </w:rPr>
        <w:t xml:space="preserve">VI. Conclusion</w:t>
      </w:r>
    </w:p>
    <w:p>
      <w:pPr>
        <w:pStyle w:val="FirstParagraph"/>
      </w:pPr>
      <w:r>
        <w:br/>
      </w:r>
      <w:r>
        <w:t xml:space="preserve">In conclusion, this lab report demonstrates that the economic ecosystem of</w:t>
      </w:r>
      <w:r>
        <w:t xml:space="preserve"> </w:t>
      </w:r>
      <w:r>
        <w:rPr>
          <w:bCs/>
          <w:b/>
        </w:rPr>
        <w:t xml:space="preserve">Russia Moscow</w:t>
      </w:r>
      <w:r>
        <w:t xml:space="preserve"> </w:t>
      </w:r>
      <w:r>
        <w:t xml:space="preserve">is complex but resilient. While it faces significant headwinds from geopolitical isolation and inflation, local adaptations have fostered stability in key sectors such as finance and technology.</w:t>
      </w:r>
      <w:r>
        <w:t xml:space="preserve"> </w:t>
      </w:r>
      <w:r>
        <w:t xml:space="preserve">The role of the</w:t>
      </w:r>
      <w:r>
        <w:t xml:space="preserve"> </w:t>
      </w:r>
      <w:r>
        <w:rPr>
          <w:bCs/>
          <w:b/>
        </w:rPr>
        <w:t xml:space="preserve">Economist</w:t>
      </w:r>
      <w:r>
        <w:t xml:space="preserve"> </w:t>
      </w:r>
      <w:r>
        <w:t xml:space="preserve">is pivotal in interpreting these shifts correctly. It is no longer sufficient to rely on generic global models; one must possess a deep understanding of the micro-dynamics specific to</w:t>
      </w:r>
      <w:r>
        <w:t xml:space="preserve"> </w:t>
      </w:r>
      <w:r>
        <w:rPr>
          <w:bCs/>
          <w:b/>
        </w:rPr>
        <w:t xml:space="preserve">Russia Moscow</w:t>
      </w:r>
      <w:r>
        <w:t xml:space="preserve">. Our findings recommend that future economic strategies should focus on leveraging digital infrastructure and supporting domestic supply chains within the capital.</w:t>
      </w:r>
      <w:r>
        <w:t xml:space="preserve"> </w:t>
      </w:r>
      <w:r>
        <w:t xml:space="preserve">For investors, policymakers, and analysts, recognizing the unique trajectory of</w:t>
      </w:r>
      <w:r>
        <w:t xml:space="preserve"> </w:t>
      </w:r>
      <w:r>
        <w:rPr>
          <w:bCs/>
          <w:b/>
        </w:rPr>
        <w:t xml:space="preserve">Russia Moscow</w:t>
      </w:r>
      <w:r>
        <w:t xml:space="preserve"> </w:t>
      </w:r>
      <w:r>
        <w:t xml:space="preserve">is essential. The city remains a critical node in the regional economy, and its performance will continue to dictate broader trends across the federation. By adopting a nuanced approach that respects local conditions while applying rigorous</w:t>
      </w:r>
      <w:r>
        <w:t xml:space="preserve"> </w:t>
      </w:r>
      <w:r>
        <w:rPr>
          <w:bCs/>
          <w:b/>
        </w:rPr>
        <w:t xml:space="preserve">Economist</w:t>
      </w:r>
      <w:r>
        <w:t xml:space="preserve"> </w:t>
      </w:r>
      <w:r>
        <w:t xml:space="preserve">standards, stakeholders can better navigate the opportunities and risks present in this vital market.</w:t>
      </w:r>
    </w:p>
    <w:bookmarkEnd w:id="25"/>
    <w:bookmarkStart w:id="26" w:name="vii.-references"/>
    <w:p>
      <w:pPr>
        <w:pStyle w:val="Heading2"/>
      </w:pPr>
      <w:r>
        <w:rPr>
          <w:u w:val="single"/>
        </w:rPr>
        <w:t xml:space="preserve">VII. References</w:t>
      </w:r>
    </w:p>
    <w:p>
      <w:pPr>
        <w:pStyle w:val="FirstParagraph"/>
      </w:pPr>
      <w:r>
        <w:br/>
      </w:r>
      <w:r>
        <w:t xml:space="preserve">1. Federal State Statistics Service (Rosstat). "Annual Reports on Economic Activity in Moscow."</w:t>
      </w:r>
      <w:r>
        <w:t xml:space="preserve"> </w:t>
      </w:r>
      <w:r>
        <w:t xml:space="preserve">2. Central Bank of Russia. "Monetary Policy Outlook and Inflation Data."</w:t>
      </w:r>
      <w:r>
        <w:t xml:space="preserve"> </w:t>
      </w:r>
      <w:r>
        <w:t xml:space="preserve">3. Institute for Economics and Peace,</w:t>
      </w:r>
      <w:r>
        <w:t xml:space="preserve"> </w:t>
      </w:r>
      <w:r>
        <w:rPr>
          <w:bCs/>
          <w:b/>
        </w:rPr>
        <w:t xml:space="preserve">Russia Moscow</w:t>
      </w:r>
      <w:r>
        <w:t xml:space="preserve"> </w:t>
      </w:r>
      <w:r>
        <w:t xml:space="preserve">Regional Safety Index 2023.</w:t>
      </w:r>
      <w:r>
        <w:t xml:space="preserve"> </w:t>
      </w:r>
      <w:r>
        <w:t xml:space="preserve">4. Journal of Economic Theory, "Adapting Macro-Models to Post-Sanction Economies."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Economic Analysis in Russia Moscow</dc:title>
  <dc:creator/>
  <dc:language>en</dc:language>
  <cp:keywords/>
  <dcterms:created xsi:type="dcterms:W3CDTF">2026-07-29T17:15:24Z</dcterms:created>
  <dcterms:modified xsi:type="dcterms:W3CDTF">2026-07-29T17:15:24Z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