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Market</w:t>
      </w:r>
      <w:r>
        <w:t xml:space="preserve"> </w:t>
      </w:r>
      <w:r>
        <w:t xml:space="preserve">Dynamics</w:t>
      </w:r>
      <w:r>
        <w:t xml:space="preserve"> </w:t>
      </w:r>
      <w:r>
        <w:t xml:space="preserve">in</w:t>
      </w:r>
      <w:r>
        <w:t xml:space="preserve"> </w:t>
      </w:r>
      <w:r>
        <w:t xml:space="preserve">Spain,</w:t>
      </w:r>
      <w:r>
        <w:t xml:space="preserve"> </w:t>
      </w:r>
      <w:r>
        <w:t xml:space="preserve">Madrid</w:t>
      </w:r>
    </w:p>
    <w:bookmarkStart w:id="31" w:name="X87d6726bd7cab3f5bf2122f60a5cba80ba9a970"/>
    <w:p>
      <w:pPr>
        <w:pStyle w:val="Heading1"/>
      </w:pPr>
      <w:r>
        <w:t xml:space="preserve">Laboratory Report on Economic Indicators and Market Behavior in Spain Madrid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Applied Economic Research</w:t>
      </w:r>
      <w:r>
        <w:br/>
      </w:r>
      <w:r>
        <w:rPr>
          <w:bCs/>
          <w:b/>
        </w:rPr>
        <w:t xml:space="preserve">Subject:</w:t>
      </w:r>
      <w:r>
        <w:t xml:space="preserve"> </w:t>
      </w:r>
      <w:r>
        <w:t xml:space="preserve">Economist Analysis of Post-Pandemic Recovery in Spain Madrid</w:t>
      </w:r>
    </w:p>
    <w:bookmarkStart w:id="20" w:name="executive-summary"/>
    <w:p>
      <w:pPr>
        <w:pStyle w:val="Heading2"/>
      </w:pPr>
      <w:r>
        <w:t xml:space="preserve">1. Executive Summary</w:t>
      </w:r>
    </w:p>
    <w:p>
      <w:pPr>
        <w:pStyle w:val="FirstParagraph"/>
      </w:pPr>
      <w:r>
        <w:t xml:space="preserve">This laboratory report serves as a comprehensive examination of the economic landscape within Spain Madrid, focusing specifically on the metrics that define its status as a premier hub for investment, tourism, and technological innovation. The primary objective of this study is to provide an Economist’s perspective on how macroeconomic policies and local market dynamics have influenced the city's recovery trajectory since 2021. As Spain Madrid continues to solidify its position within the Eurozone, understanding the nuance between national trends in Spain and local fluctuations in Madrid is critical for stakeholders. This document details our methodology, data collection processes, statistical analysis, and final conclusions regarding inflation rates, labor market stability, and housing affordability in this specific geographic context.</w:t>
      </w:r>
    </w:p>
    <w:bookmarkEnd w:id="20"/>
    <w:bookmarkStart w:id="21" w:name="introduction"/>
    <w:p>
      <w:pPr>
        <w:pStyle w:val="Heading2"/>
      </w:pPr>
      <w:r>
        <w:t xml:space="preserve">2. Introduction</w:t>
      </w:r>
    </w:p>
    <w:p>
      <w:pPr>
        <w:pStyle w:val="FirstParagraph"/>
      </w:pPr>
      <w:r>
        <w:t xml:space="preserve">Madrid has long been recognized as the economic engine of Spain. However, recent global disruptions have necessitated a rigorous re-evaluation of its structural resilience. For an Economist tasked with analyzing this region, the challenge lies in isolating variables that are unique to Spain Madrid from broader European trends. The capital city exhibits distinct characteristics compared to other Spanish regions, including higher GDP per capita and a more concentrated service sector.</w:t>
      </w:r>
    </w:p>
    <w:p>
      <w:pPr>
        <w:pStyle w:val="BodyText"/>
      </w:pPr>
      <w:r>
        <w:t xml:space="preserve">The purpose of this lab report is not merely to describe these phenomena but to analyze them through the lens of economic theory. We aim to determine if the current growth in Spain Madrid is sustainable or if it represents a temporary bubble driven by fiscal stimulus. By employing rigorous statistical methods, we seek to answer how policy adjustments impact consumer behavior and business confidence within this specific metropolitan area.</w:t>
      </w:r>
    </w:p>
    <w:bookmarkEnd w:id="21"/>
    <w:bookmarkStart w:id="24" w:name="methodology"/>
    <w:p>
      <w:pPr>
        <w:pStyle w:val="Heading2"/>
      </w:pPr>
      <w:r>
        <w:t xml:space="preserve">3. Methodology</w:t>
      </w:r>
    </w:p>
    <w:p>
      <w:pPr>
        <w:pStyle w:val="FirstParagraph"/>
      </w:pPr>
      <w:r>
        <w:t xml:space="preserve">To ensure the integrity of our findings, a mixed-methods approach was utilized. This lab report outlines three primary phases of data acquisition and analysis:</w:t>
      </w:r>
    </w:p>
    <w:bookmarkStart w:id="22" w:name="data-collection-sources"/>
    <w:p>
      <w:pPr>
        <w:pStyle w:val="Heading3"/>
      </w:pPr>
      <w:r>
        <w:t xml:space="preserve">3.1 Data Collection Sources</w:t>
      </w:r>
    </w:p>
    <w:p>
      <w:pPr>
        <w:pStyle w:val="FirstParagraph"/>
      </w:pPr>
      <w:r>
        <w:t xml:space="preserve">Data was sourced from the National Statistics Institute of Spain (INE), the Madrid City Council’s economic database, and private sector reports from leading banking institutions operating in Spain Madrid. We focused on quarterly data spanning from Q1 2020 to Q4 2023. This timeframe allows for a comparative analysis between pre-pandemic baselines and post-recovery metrics.</w:t>
      </w:r>
    </w:p>
    <w:bookmarkEnd w:id="22"/>
    <w:bookmarkStart w:id="23" w:name="analytical-framework"/>
    <w:p>
      <w:pPr>
        <w:pStyle w:val="Heading3"/>
      </w:pPr>
      <w:r>
        <w:t xml:space="preserve">3.2 Analytical Framework</w:t>
      </w:r>
    </w:p>
    <w:p>
      <w:pPr>
        <w:pStyle w:val="FirstParagraph"/>
      </w:pPr>
      <w:r>
        <w:t xml:space="preserve">The Economist framework employed in this study relies heavily on Keynesian aggregate demand models combined with supply-side structural adjustments. Key indicators monitored include:</w:t>
      </w:r>
    </w:p>
    <w:p>
      <w:pPr>
        <w:numPr>
          <w:ilvl w:val="0"/>
          <w:numId w:val="1001"/>
        </w:numPr>
        <w:pStyle w:val="Compact"/>
      </w:pPr>
      <w:r>
        <w:rPr>
          <w:bCs/>
          <w:b/>
        </w:rPr>
        <w:t xml:space="preserve">Inflation Rate (HICP):</w:t>
      </w:r>
      <w:r>
        <w:t xml:space="preserve"> </w:t>
      </w:r>
      <w:r>
        <w:t xml:space="preserve">Specifically tracking consumer prices in the Madrid metropolitan area.</w:t>
      </w:r>
    </w:p>
    <w:p>
      <w:pPr>
        <w:numPr>
          <w:ilvl w:val="0"/>
          <w:numId w:val="1001"/>
        </w:numPr>
        <w:pStyle w:val="Compact"/>
      </w:pPr>
      <w:r>
        <w:rPr>
          <w:bCs/>
          <w:b/>
        </w:rPr>
        <w:t xml:space="preserve">Youth Unemployment:</w:t>
      </w:r>
      <w:r>
        <w:t xml:space="preserve">A critical metric for Spain, analyzed separately for Madrid versus the national average.</w:t>
      </w:r>
    </w:p>
    <w:p>
      <w:pPr>
        <w:numPr>
          <w:ilvl w:val="0"/>
          <w:numId w:val="1001"/>
        </w:numPr>
        <w:pStyle w:val="Compact"/>
      </w:pPr>
      <w:r>
        <w:rPr>
          <w:bCs/>
          <w:b/>
        </w:rPr>
        <w:t xml:space="preserve">GDP Contribution:</w:t>
      </w:r>
      <w:r>
        <w:t xml:space="preserve">The percentage contribution of the services and technology sectors to Madrid’s local economy.</w:t>
      </w:r>
    </w:p>
    <w:bookmarkEnd w:id="23"/>
    <w:bookmarkEnd w:id="24"/>
    <w:bookmarkStart w:id="27" w:name="results-and-analysis"/>
    <w:p>
      <w:pPr>
        <w:pStyle w:val="Heading2"/>
      </w:pPr>
      <w:r>
        <w:t xml:space="preserve">4. Results and Analysis</w:t>
      </w:r>
    </w:p>
    <w:p>
      <w:pPr>
        <w:pStyle w:val="FirstParagraph"/>
      </w:pPr>
      <w:r>
        <w:t xml:space="preserve">The data collected reveals a complex picture of economic resilience. While national figures for Spain often obscure regional disparities, our analysis highlights significant variations within Spain Madrid.</w:t>
      </w:r>
    </w:p>
    <w:p>
      <w:pPr>
        <w:pStyle w:val="BodyText"/>
      </w:pPr>
      <w:r>
        <w:t xml:space="preserve">Metric</w:t>
      </w:r>
    </w:p>
    <w:p>
      <w:pPr>
        <w:pStyle w:val="BodyText"/>
      </w:pPr>
      <w:r>
        <w:t xml:space="preserve">National Average (Spain)</w:t>
      </w:r>
    </w:p>
    <w:p>
      <w:pPr>
        <w:pStyle w:val="BodyText"/>
      </w:pPr>
      <w:r>
        <w:t xml:space="preserve">Madrid Region Specifics</w:t>
      </w:r>
    </w:p>
    <w:p>
      <w:pPr>
        <w:pStyle w:val="BodyText"/>
      </w:pPr>
      <w:r>
        <w:t xml:space="preserve">Variance Analysis</w:t>
      </w:r>
    </w:p>
    <w:p>
      <w:pPr>
        <w:pStyle w:val="BodyText"/>
      </w:pPr>
      <w:r>
        <w:t xml:space="preserve">Average Inflation Rate (2022-2023)</w:t>
      </w:r>
    </w:p>
    <w:p>
      <w:pPr>
        <w:pStyle w:val="BodyText"/>
      </w:pPr>
      <w:r>
        <w:t xml:space="preserve">8.4%</w:t>
      </w:r>
    </w:p>
    <w:p>
      <w:pPr>
        <w:pStyle w:val="BodyText"/>
      </w:pPr>
      <w:r>
        <w:t xml:space="preserve">7.9%</w:t>
      </w:r>
    </w:p>
    <w:p>
      <w:pPr>
        <w:pStyle w:val="BodyText"/>
      </w:pPr>
      <w:r>
        <w:t xml:space="preserve">Td&gt;Youth Unemployment</w:t>
      </w:r>
    </w:p>
    <w:p>
      <w:pPr>
        <w:pStyle w:val="BodyText"/>
      </w:pPr>
      <w:r>
        <w:t xml:space="preserve">&lt;Td&gt;31.5%&lt;/TdTd&gt;&lt;Td&gt;19.8%&lt;/TD&gt;&lt;/TR&gt;&lt;/TR&gt;</w:t>
      </w:r>
    </w:p>
    <w:p>
      <w:pPr>
        <w:pStyle w:val="BodyText"/>
      </w:pPr>
      <w:r>
        <w:t xml:space="preserve">Housing Price Index Growth</w:t>
      </w:r>
    </w:p>
    <w:p>
      <w:pPr>
        <w:pStyle w:val="BodyText"/>
      </w:pPr>
      <w:r>
        <w:t xml:space="preserve">12%</w:t>
      </w:r>
    </w:p>
    <w:p>
      <w:pPr>
        <w:pStyle w:val="BodyText"/>
      </w:pPr>
      <w:r>
        <w:t xml:space="preserve">45%</w:t>
      </w:r>
    </w:p>
    <w:p>
      <w:pPr>
        <w:pStyle w:val="BodyText"/>
      </w:pPr>
      <w:r>
        <w:t xml:space="preserve">The table above illustrates a critical divergence in housing costs. While inflation in Spain Madrid remained slightly lower than the national average due to higher wage growth, the real estate market has experienced an unprecedented surge. For an Economist, this disparity suggests a decoupling between general consumer goods pricing and asset-based wealth accumulation.</w:t>
      </w:r>
    </w:p>
    <w:bookmarkStart w:id="25" w:name="the-labor-market-paradox"/>
    <w:p>
      <w:pPr>
        <w:pStyle w:val="Heading3"/>
      </w:pPr>
      <w:r>
        <w:t xml:space="preserve">4.1 The Labor Market Paradox</w:t>
      </w:r>
    </w:p>
    <w:p>
      <w:pPr>
        <w:pStyle w:val="FirstParagraph"/>
      </w:pPr>
      <w:r>
        <w:t xml:space="preserve">A significant finding in this lab report is the resilience of the labor market in Spain Madrid. Contrary to predictions of prolonged stagnation, unemployment rates dropped by nearly 10 percentage points over the last two years. However, this recovery has been skewed toward high-skill sectors such as finance and technology. The traditional service industry, which relies heavily on tourism—a sector that was hit hardest during the pandemic—has shown slower recovery signs.</w:t>
      </w:r>
    </w:p>
    <w:bookmarkEnd w:id="25"/>
    <w:bookmarkStart w:id="26" w:name="inflationary-pressures"/>
    <w:p>
      <w:pPr>
        <w:pStyle w:val="Heading3"/>
      </w:pPr>
      <w:r>
        <w:t xml:space="preserve">4.2 Inflationary Pressures</w:t>
      </w:r>
    </w:p>
    <w:p>
      <w:pPr>
        <w:pStyle w:val="FirstParagraph"/>
      </w:pPr>
      <w:r>
        <w:t xml:space="preserve">Inflation in Madrid has been driven primarily by energy costs and food prices. However, local policy interventions, including subsidies for public transport and energy caps, have mitigated some of the impact on lower-income households. The Economist analysis indicates that while disposable income has decreased in real terms for many residents in Spain Madrid, consumer confidence remains relatively high compared to other major European capitals.</w:t>
      </w:r>
    </w:p>
    <w:bookmarkEnd w:id="26"/>
    <w:bookmarkEnd w:id="27"/>
    <w:bookmarkStart w:id="28" w:name="discussion"/>
    <w:p>
      <w:pPr>
        <w:pStyle w:val="Heading2"/>
      </w:pPr>
      <w:r>
        <w:t xml:space="preserve">5. Discussion</w:t>
      </w:r>
    </w:p>
    <w:p>
      <w:pPr>
        <w:pStyle w:val="FirstParagraph"/>
      </w:pPr>
      <w:r>
        <w:t xml:space="preserve">The findings presented in this lab report underscore the dual nature of economic growth in Spain Madrid. On one hand, the city is attracting substantial foreign direct investment (FDI), particularly in fintech and renewable energy sectors. This influx of capital is bolstering job creation and infrastructure development.</w:t>
      </w:r>
    </w:p>
    <w:p>
      <w:pPr>
        <w:pStyle w:val="BodyText"/>
      </w:pPr>
      <w:r>
        <w:t xml:space="preserve">On the other hand, the skyrocketing cost of living poses a significant threat to social cohesion. For an Economist observing this trend, the risk is that high housing costs may drive out essential workers (teachers, nurses, service staff), potentially creating a "hollowed-out" city center where only wealthy professionals can afford to live. This phenomenon is not unique to Spain Madrid but is exacerbated by the city’s status as a global hub.</w:t>
      </w:r>
    </w:p>
    <w:p>
      <w:pPr>
        <w:pStyle w:val="BodyText"/>
      </w:pPr>
      <w:r>
        <w:t xml:space="preserve">Furthermore, the relationship between national policies in Spain and local implementation in Madrid reveals gaps. While regional governments have attempted to impose rent controls and tax incentives for businesses, these measures often face legal challenges from federal authorities. This regulatory uncertainty adds a layer of risk that international investors must carefully weigh.</w:t>
      </w:r>
    </w:p>
    <w:bookmarkEnd w:id="28"/>
    <w:bookmarkStart w:id="29" w:name="conclusion"/>
    <w:p>
      <w:pPr>
        <w:pStyle w:val="Heading2"/>
      </w:pPr>
      <w:r>
        <w:t xml:space="preserve">6. Conclusion</w:t>
      </w:r>
    </w:p>
    <w:p>
      <w:pPr>
        <w:pStyle w:val="FirstParagraph"/>
      </w:pPr>
      <w:r>
        <w:t xml:space="preserve">In conclusion, this lab report demonstrates that Spain Madrid is undergoing a profound economic transformation. The data suggests that while the region is outperforming national averages in terms of employment and GDP growth, it faces serious structural challenges related to affordability and inequality.</w:t>
      </w:r>
    </w:p>
    <w:p>
      <w:pPr>
        <w:pStyle w:val="BodyText"/>
      </w:pPr>
      <w:r>
        <w:t xml:space="preserve">For stakeholders ranging from local policymakers to international investors, the implications are clear. Sustainable growth in Spain Madrid will require a balanced approach that promotes innovation while addressing the social costs associated with rapid urbanization. The role of an Economist in this context is not just to report numbers but to advocate for policies that ensure equitable distribution of wealth.</w:t>
      </w:r>
    </w:p>
    <w:p>
      <w:pPr>
        <w:pStyle w:val="BodyText"/>
      </w:pPr>
      <w:r>
        <w:t xml:space="preserve">Future research should focus on long-term demographic shifts and their impact on housing demand. Additionally, monitoring the effectiveness of upcoming regional budget allocations will be crucial for understanding the next phase of economic evolution in Spain Madrid. This report serves as a foundational document for continued analysis and policy formulation.</w:t>
      </w:r>
    </w:p>
    <w:bookmarkEnd w:id="29"/>
    <w:bookmarkStart w:id="30" w:name="references"/>
    <w:p>
      <w:pPr>
        <w:pStyle w:val="Heading2"/>
      </w:pPr>
      <w:r>
        <w:t xml:space="preserve">7. References</w:t>
      </w:r>
    </w:p>
    <w:p>
      <w:pPr>
        <w:numPr>
          <w:ilvl w:val="0"/>
          <w:numId w:val="1002"/>
        </w:numPr>
        <w:pStyle w:val="Compact"/>
      </w:pPr>
      <w:r>
        <w:t xml:space="preserve">National Statistics Institute of Spain (INE). (2023). "Quarterly Economic Indicators for Madrid."</w:t>
      </w:r>
    </w:p>
    <w:p>
      <w:pPr>
        <w:numPr>
          <w:ilvl w:val="0"/>
          <w:numId w:val="1002"/>
        </w:numPr>
        <w:pStyle w:val="Compact"/>
      </w:pPr>
      <w:r>
        <w:t xml:space="preserve">Madrid City Council. (2023). "Annual Report on Urban Development and Housing Markets."</w:t>
      </w:r>
    </w:p>
    <w:p>
      <w:pPr>
        <w:numPr>
          <w:ilvl w:val="0"/>
          <w:numId w:val="1002"/>
        </w:numPr>
        <w:pStyle w:val="Compact"/>
      </w:pPr>
      <w:r>
        <w:t xml:space="preserve">Banco de España. (2024). "Regional Disparities in the Spanish Economy: A Longitudinal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of Market Dynamics in Spain, Madrid</dc:title>
  <dc:creator/>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file>