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Analysis</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20" w:name="economist-lab-report"/>
    <w:p>
      <w:pPr>
        <w:pStyle w:val="Heading1"/>
      </w:pPr>
      <w:r>
        <w:t xml:space="preserve">ECONOMIST LAB REPORT</w:t>
      </w:r>
    </w:p>
    <w:p>
      <w:pPr>
        <w:pStyle w:val="FirstParagraph"/>
      </w:pPr>
      <w:r>
        <w:rPr>
          <w:bCs/>
          <w:b/>
        </w:rPr>
        <w:t xml:space="preserve">Focused Region:</w:t>
      </w:r>
      <w:r>
        <w:t xml:space="preserve"> </w:t>
      </w:r>
      <w:r>
        <w:t xml:space="preserve">United Kingdom London</w:t>
      </w:r>
      <w:r>
        <w:br/>
      </w:r>
      <w:r>
        <w:rPr>
          <w:bCs/>
          <w:b/>
        </w:rPr>
        <w:t xml:space="preserve">Date:</w:t>
      </w:r>
      <w:r>
        <w:t xml:space="preserve"> </w:t>
      </w:r>
      <w:r>
        <w:t xml:space="preserve">October 26, 2023</w:t>
      </w:r>
      <w:r>
        <w:br/>
      </w:r>
      <w:r>
        <w:rPr>
          <w:bCs/>
          <w:b/>
        </w:rPr>
        <w:t xml:space="preserve">Type:</w:t>
      </w:r>
      <w:r>
        <w:t xml:space="preserve"> </w:t>
      </w:r>
      <w:r>
        <w:t xml:space="preserve">Economic Analysis &amp; Policy Review</w:t>
      </w:r>
    </w:p>
    <w:bookmarkEnd w:id="20"/>
    <w:bookmarkStart w:id="21" w:name="i.-introduction-and-scope"/>
    <w:p>
      <w:pPr>
        <w:pStyle w:val="Heading2"/>
      </w:pPr>
      <w:r>
        <w:t xml:space="preserve">I. Introduction and Scope</w:t>
      </w:r>
    </w:p>
    <w:p>
      <w:pPr>
        <w:pStyle w:val="FirstParagraph"/>
      </w:pPr>
      <w:r>
        <w:t xml:space="preserve">This document serves as a comprehensive lab report detailing the current economic state, policy implications, and market dynamics within the United Kingdom London jurisdiction. As the primary financial hub of Europe and a central node in global capital markets, United Kingdom London requires rigorous scrutiny through an analytical framework akin to scientific experimentation. The role of the Economist in this context is not merely observational but diagnostic; it involves isolating variables such as monetary policy shifts, inflationary pressures, and labor market rigidity to understand their causal impact on regional stability.</w:t>
      </w:r>
    </w:p>
    <w:p>
      <w:pPr>
        <w:pStyle w:val="BodyText"/>
      </w:pPr>
      <w:r>
        <w:t xml:space="preserve">The purpose of this report is to simulate a laboratory environment where economic theories are tested against the empirical reality of United Kingdom London. By adopting the persona of an Economist analyzing this specific microcosm within the broader United Kingdom framework, we aim to provide actionable insights for policymakers, investors, and stakeholders. The term 'Economist' here represents both a professional discipline and a methodological approach—systematic, data-driven, and objective.</w:t>
      </w:r>
    </w:p>
    <w:bookmarkEnd w:id="21"/>
    <w:bookmarkStart w:id="22" w:name="ii.-methodology-the-economic-laboratory"/>
    <w:p>
      <w:pPr>
        <w:pStyle w:val="Heading2"/>
      </w:pPr>
      <w:r>
        <w:t xml:space="preserve">II. Methodology: The Economic Laboratory</w:t>
      </w:r>
    </w:p>
    <w:p>
      <w:pPr>
        <w:pStyle w:val="FirstParagraph"/>
      </w:pPr>
      <w:r>
        <w:t xml:space="preserve">In this lab report framework, United Kingdom London is treated as the experimental subject. The variables under observation include:</w:t>
      </w:r>
    </w:p>
    <w:p>
      <w:pPr>
        <w:numPr>
          <w:ilvl w:val="0"/>
          <w:numId w:val="1001"/>
        </w:numPr>
        <w:pStyle w:val="Compact"/>
      </w:pPr>
      <w:r>
        <w:rPr>
          <w:bCs/>
          <w:b/>
        </w:rPr>
        <w:t xml:space="preserve">M Monetary Policy Variables:</w:t>
      </w:r>
      <w:r>
        <w:t xml:space="preserve"> </w:t>
      </w:r>
      <w:r>
        <w:t xml:space="preserve">Interest rates set by the Bank of England and their transmission mechanisms within London’s banking sector.</w:t>
      </w:r>
    </w:p>
    <w:p>
      <w:pPr>
        <w:numPr>
          <w:ilvl w:val="0"/>
          <w:numId w:val="1001"/>
        </w:numPr>
        <w:pStyle w:val="Compact"/>
      </w:pPr>
      <w:r>
        <w:rPr>
          <w:bCs/>
          <w:b/>
        </w:rPr>
        <w:t xml:space="preserve">Fiscal Stance:</w:t>
      </w:r>
      <w:r>
        <w:t xml:space="preserve"> </w:t>
      </w:r>
      <w:r>
        <w:t xml:space="preserve">Government spending and taxation policies enacted by Westminster, specifically impacting Greater London infrastructure and services.</w:t>
      </w:r>
    </w:p>
    <w:p>
      <w:pPr>
        <w:numPr>
          <w:ilvl w:val="0"/>
          <w:numId w:val="1001"/>
        </w:numPr>
        <w:pStyle w:val="Compact"/>
      </w:pPr>
      <w:r>
        <w:rPr>
          <w:bCs/>
          <w:b/>
        </w:rPr>
        <w:t xml:space="preserve">Labor Market Dynamics:</w:t>
      </w:r>
      <w:r>
        <w:t xml:space="preserve"> </w:t>
      </w:r>
      <w:r>
        <w:t xml:space="preserve">Wage growth, unemployment rates, and post-Brexit migration flows affecting the capital’s workforce.</w:t>
      </w:r>
    </w:p>
    <w:p>
      <w:pPr>
        <w:numPr>
          <w:ilvl w:val="0"/>
          <w:numId w:val="1001"/>
        </w:numPr>
        <w:pStyle w:val="Compact"/>
      </w:pPr>
      <w:r>
        <w:rPr>
          <w:bCs/>
          <w:b/>
        </w:rPr>
        <w:t xml:space="preserve">Housing Market Indicators:</w:t>
      </w:r>
      <w:r>
        <w:t xml:space="preserve"> </w:t>
      </w:r>
      <w:r>
        <w:t xml:space="preserve">Property prices in United Kingdom London relative to income levels and mortgage availability.</w:t>
      </w:r>
    </w:p>
    <w:p>
      <w:pPr>
        <w:pStyle w:val="FirstParagraph"/>
      </w:pPr>
      <w:r>
        <w:t xml:space="preserve">The Economist utilizes quantitative data from the Office for National Statistics (ONS) and qualitative assessments of regulatory changes. This hybrid methodology ensures that both hard numbers and soft sentiments are accounted for in the final analysis.</w:t>
      </w:r>
    </w:p>
    <w:bookmarkEnd w:id="22"/>
    <w:bookmarkStart w:id="26" w:name="Xe57959f17a577bab092b2060cfd1d9dc0005e4f"/>
    <w:p>
      <w:pPr>
        <w:pStyle w:val="Heading2"/>
      </w:pPr>
      <w:r>
        <w:t xml:space="preserve">III. Data Analysis: Current Economic Conditions</w:t>
      </w:r>
    </w:p>
    <w:bookmarkStart w:id="23" w:name="Xbd6609b3627dec7c44304777760dc20ac5a0a4c"/>
    <w:p>
      <w:pPr>
        <w:pStyle w:val="Heading3"/>
      </w:pPr>
      <w:r>
        <w:t xml:space="preserve">A. Inflationary Pressures and Cost of Living</w:t>
      </w:r>
    </w:p>
    <w:p>
      <w:pPr>
        <w:pStyle w:val="FirstParagraph"/>
      </w:pPr>
      <w:r>
        <w:t xml:space="preserve">The most significant variable currently affecting United Kingdom London is inflation. While national averages provide a baseline, the cost of living in the capital is distinct due to higher housing and service costs. Our analysis indicates that core inflation remains sticky, driven by wage growth in tight labor markets typical of London’s professional sectors. The Economist observes that while headline inflation may be moderating, the underlying trend poses a risk to consumer confidence. Households in United Kingdom London are adjusting their spending habits, particularly in discretionary sectors such as hospitality and retail.</w:t>
      </w:r>
    </w:p>
    <w:bookmarkEnd w:id="23"/>
    <w:bookmarkStart w:id="24" w:name="b.-housing-market-volatility"/>
    <w:p>
      <w:pPr>
        <w:pStyle w:val="Heading3"/>
      </w:pPr>
      <w:r>
        <w:t xml:space="preserve">B. Housing Market Volatility</w:t>
      </w:r>
    </w:p>
    <w:p>
      <w:pPr>
        <w:pStyle w:val="FirstParagraph"/>
      </w:pPr>
      <w:r>
        <w:t xml:space="preserve">The housing sector in United Kingdom London presents a complex case study for the Economist. Historically high prices have faced corrections due to elevated mortgage rates. Data suggests a divergence between the prime market (West London) and affordable housing segments (East and North London). The impact of recent fiscal measures, including changes to stamp duty and buy-to-let taxation, has introduced uncertainty. For the Economist tracking United Kingdom London, this volatility represents both a risk factor for financial stability and an opportunity for long-term investment if liquidity conditions improve.</w:t>
      </w:r>
    </w:p>
    <w:bookmarkEnd w:id="24"/>
    <w:bookmarkStart w:id="25" w:name="c.-the-labor-market-paradox"/>
    <w:p>
      <w:pPr>
        <w:pStyle w:val="Heading3"/>
      </w:pPr>
      <w:r>
        <w:t xml:space="preserve">C. The Labor Market Paradox</w:t>
      </w:r>
    </w:p>
    <w:p>
      <w:pPr>
        <w:pStyle w:val="FirstParagraph"/>
      </w:pPr>
      <w:r>
        <w:t xml:space="preserve">United Kingdom London exhibits a paradoxical labor market characterized by low unemployment but high economic inactivity. The Economist notes that post-pandemic work patterns have permanently altered the city’s commercial real estate usage, which in turn affects the service economy. Sectors such as finance and professional services continue to attract global talent, yet there is a structural shortage in skilled trades and healthcare. This mismatch highlights a critical area for policy intervention within the United Kingdom framework.</w:t>
      </w:r>
    </w:p>
    <w:bookmarkEnd w:id="25"/>
    <w:bookmarkEnd w:id="26"/>
    <w:bookmarkStart w:id="27" w:name="Xccdc694146446b7c83eba0c1bd2c1572572e3ba"/>
    <w:p>
      <w:pPr>
        <w:pStyle w:val="Heading2"/>
      </w:pPr>
      <w:r>
        <w:t xml:space="preserve">IV. Discussion: The Role of Policy and Global Context</w:t>
      </w:r>
    </w:p>
    <w:p>
      <w:pPr>
        <w:pStyle w:val="FirstParagraph"/>
      </w:pPr>
      <w:r>
        <w:t xml:space="preserve">The analysis cannot be confined solely to local metrics; the Economist must contextualize United Kingdom London within the global economy. As a gateway between East and West, changes in geopolitical stability directly impact capital flows into the city. Furthermore, the relationship between devolved administrations in Scotland, Wales, and Northern Ireland and central government in London influences fiscal transfers that fund public services across United Kingdom London.</w:t>
      </w:r>
    </w:p>
    <w:p>
      <w:pPr>
        <w:pStyle w:val="BodyText"/>
      </w:pPr>
      <w:r>
        <w:t xml:space="preserve">The Economist identifies a tension between short-term political cycles and long-term economic planning. In United Kingdom London, infrastructure projects such as Crossrail extensions or Thameslink upgrades require multi-decade commitments. The stability of these projects is often threatened by shifting political priorities. Therefore, the recommendation from this lab report is for greater institutional independence in infrastructure planning to insulate critical developments from short-term fiscal shocks.</w:t>
      </w:r>
    </w:p>
    <w:bookmarkEnd w:id="27"/>
    <w:bookmarkStart w:id="28" w:name="v.-results-and-observations"/>
    <w:p>
      <w:pPr>
        <w:pStyle w:val="Heading2"/>
      </w:pPr>
      <w:r>
        <w:t xml:space="preserve">V. Results and Observations</w:t>
      </w:r>
    </w:p>
    <w:p>
      <w:pPr>
        <w:pStyle w:val="FirstParagraph"/>
      </w:pPr>
      <w:r>
        <w:t xml:space="preserve">The simulation of economic models applied to United Kingdom London yields several key observations:</w:t>
      </w:r>
    </w:p>
    <w:p>
      <w:pPr>
        <w:numPr>
          <w:ilvl w:val="0"/>
          <w:numId w:val="1002"/>
        </w:numPr>
        <w:pStyle w:val="Compact"/>
      </w:pPr>
      <w:r>
        <w:rPr>
          <w:bCs/>
          <w:b/>
        </w:rPr>
        <w:t xml:space="preserve">Growth Trajectory:</w:t>
      </w:r>
      <w:r>
        <w:t xml:space="preserve"> </w:t>
      </w:r>
      <w:r>
        <w:t xml:space="preserve">Short-term GDP growth is expected to remain modest, constrained by weak productivity growth across the United Kingdom, with London acting as a slight outperformer due to its concentration of high-value services.</w:t>
      </w:r>
    </w:p>
    <w:p>
      <w:pPr>
        <w:numPr>
          <w:ilvl w:val="0"/>
          <w:numId w:val="1002"/>
        </w:numPr>
        <w:pStyle w:val="Compact"/>
      </w:pPr>
      <w:r>
        <w:rPr>
          <w:bCs/>
          <w:b/>
        </w:rPr>
        <w:t xml:space="preserve">Inflation Convergence:</w:t>
      </w:r>
      <w:r>
        <w:t xml:space="preserve"> </w:t>
      </w:r>
      <w:r>
        <w:t xml:space="preserve">Inflation in United Kingdom London is likely to converge with national averages over the next two quarters, assuming supply chain disruptions continue to ease globally.</w:t>
      </w:r>
    </w:p>
    <w:p>
      <w:pPr>
        <w:numPr>
          <w:ilvl w:val="0"/>
          <w:numId w:val="1002"/>
        </w:numPr>
        <w:pStyle w:val="Compact"/>
      </w:pPr>
      <w:r>
        <w:rPr>
          <w:bCs/>
          <w:b/>
        </w:rPr>
        <w:t xml:space="preserve">Investment Sentiment:</w:t>
      </w:r>
      <w:r>
        <w:t xml:space="preserve"> </w:t>
      </w:r>
      <w:r>
        <w:t xml:space="preserve">Foreign direct investment (FDI) remains resilient but cautious. The Economist notes that clarity on trade relationships with the European Union remains a prerequisite for renewed large-scale capital expenditure in United Kingdom London.</w:t>
      </w:r>
    </w:p>
    <w:bookmarkEnd w:id="28"/>
    <w:bookmarkStart w:id="29" w:name="vi.-conclusion-and-recommendations"/>
    <w:p>
      <w:pPr>
        <w:pStyle w:val="Heading2"/>
      </w:pPr>
      <w:r>
        <w:t xml:space="preserve">VI. Conclusion and Recommendations</w:t>
      </w:r>
    </w:p>
    <w:p>
      <w:pPr>
        <w:pStyle w:val="FirstParagraph"/>
      </w:pPr>
      <w:r>
        <w:t xml:space="preserve">In conclusion, this lab report underscores that United Kingdom London remains an engine of economic activity within the broader context of the United Kingdom. However, its performance is heavily dependent on macroeconomic stability and effective policy coordination. The Economist advises a cautious optimism approach for stakeholders.</w:t>
      </w:r>
    </w:p>
    <w:p>
      <w:pPr>
        <w:pStyle w:val="BodyText"/>
      </w:pPr>
      <w:r>
        <w:t xml:space="preserve">To enhance resilience in United Kingdom London, three primary recommendations are proposed:</w:t>
      </w:r>
    </w:p>
    <w:p>
      <w:pPr>
        <w:pStyle w:val="BodyText"/>
      </w:pPr>
      <w:r>
        <w:rPr>
          <w:bCs/>
          <w:b/>
        </w:rPr>
        <w:t xml:space="preserve">Skills Development:</w:t>
      </w:r>
      <w:r>
        <w:t xml:space="preserve"> </w:t>
      </w:r>
      <w:r>
        <w:t xml:space="preserve">Invest in education and vocational training to address the structural labor shortages identified in this analysis.</w:t>
      </w:r>
    </w:p>
    <w:p>
      <w:pPr>
        <w:pStyle w:val="BodyText"/>
      </w:pPr>
      <w:r>
        <w:rPr>
          <w:bCs/>
          <w:b/>
        </w:rPr>
        <w:t xml:space="preserve">Housing Supply Reform:</w:t>
      </w:r>
    </w:p>
    <w:p>
      <w:pPr>
        <w:pStyle w:val="BodyText"/>
      </w:pPr>
      <w:r>
        <w:rPr>
          <w:bCs/>
          <w:b/>
        </w:rPr>
        <w:t xml:space="preserve">Diversification of Trade:</w:t>
      </w:r>
      <w:r>
        <w:t xml:space="preserve"> </w:t>
      </w:r>
      <w:r>
        <w:t xml:space="preserve">Actively pursue trade agreements with emerging markets to reduce over-reliance on traditional partners, thereby stabilizing the economic output of United Kingdom London against geopolitical shocks.</w:t>
      </w:r>
    </w:p>
    <w:p>
      <w:pPr>
        <w:pStyle w:val="BodyText"/>
      </w:pPr>
      <w:r>
        <w:t xml:space="preserve">The role of the Economist continues to be vital in navigating these complexities. By treating economic data as experimental evidence and policy decisions as interventions, we can better predict outcomes and optimize results for United Kingdom London and the wider United Kingdom nation.</w:t>
      </w:r>
    </w:p>
    <w:bookmarkEnd w:id="29"/>
    <w:bookmarkStart w:id="30" w:name="vii.-references"/>
    <w:p>
      <w:pPr>
        <w:pStyle w:val="Heading2"/>
      </w:pPr>
      <w:r>
        <w:t xml:space="preserve">VII. References</w:t>
      </w:r>
    </w:p>
    <w:p>
      <w:pPr>
        <w:pStyle w:val="FirstParagraph"/>
      </w:pPr>
      <w:r>
        <w:t xml:space="preserve">Data sources include the Office for National Statistics (ONS), Bank of England Monetary Policy Reports, London First economic indicators, and independent analysis by leading Economist think tanks focused on United Kingdom regional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Analysis Lab Report: United Kingdom London</dc:title>
  <dc:creator/>
  <dc:language>en</dc:language>
  <cp:keywords/>
  <dcterms:created xsi:type="dcterms:W3CDTF">2026-07-30T00:34:46Z</dcterms:created>
  <dcterms:modified xsi:type="dcterms:W3CDTF">2026-07-30T00:34:46Z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