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Text</w:t>
      </w:r>
      <w:r>
        <w:t xml:space="preserve"> </w:t>
      </w:r>
      <w:r>
        <w:t xml:space="preserve">Editing</w:t>
      </w:r>
      <w:r>
        <w:t xml:space="preserve"> </w:t>
      </w:r>
      <w:r>
        <w:t xml:space="preserve">Solutions</w:t>
      </w:r>
      <w:r>
        <w:t xml:space="preserve"> </w:t>
      </w:r>
      <w:r>
        <w:t xml:space="preserve">for</w:t>
      </w:r>
      <w:r>
        <w:t xml:space="preserve"> </w:t>
      </w:r>
      <w:r>
        <w:t xml:space="preserve">Australia</w:t>
      </w:r>
      <w:r>
        <w:t xml:space="preserve"> </w:t>
      </w:r>
      <w:r>
        <w:t xml:space="preserve">Sydney</w:t>
      </w:r>
    </w:p>
    <w:p>
      <w:pPr>
        <w:pStyle w:val="FirstParagraph"/>
      </w:pPr>
      <w:r>
        <w:t xml:space="preserve">```html</w:t>
      </w:r>
    </w:p>
    <w:bookmarkStart w:id="32" w:name="Xcbf40d3ea2c312ad3dd5b8f1b8f2396d2e138c6"/>
    <w:p>
      <w:pPr>
        <w:pStyle w:val="Heading1"/>
      </w:pPr>
      <w:r>
        <w:t xml:space="preserve">Laboratory Report: Evaluation of High-Performance Text Editors for Professional Use in Australia Sydney</w:t>
      </w:r>
    </w:p>
    <w:bookmarkStart w:id="20" w:name="abstract"/>
    <w:p>
      <w:pPr>
        <w:pStyle w:val="Heading2"/>
      </w:pPr>
      <w:r>
        <w:t xml:space="preserve">Abstract</w:t>
      </w:r>
    </w:p>
    <w:p>
      <w:pPr>
        <w:pStyle w:val="FirstParagraph"/>
      </w:pPr>
      <w:r>
        <w:t xml:space="preserve">This laboratory report outlines the rigorous testing and evaluation of various text editing software solutions specifically tailored for professional workflows within the geographic and technological context of Australia Sydney. As a major economic hub, Australia Sydney demands high-efficiency tools that handle diverse data types, from complex codebases to academic manuscripts. This study evaluates latency, user interface responsiveness, cloud synchronization capabilities with Australian servers, and compliance with local digital accessibility standards.</w:t>
      </w:r>
    </w:p>
    <w:bookmarkEnd w:id="20"/>
    <w:bookmarkStart w:id="21" w:name="introduction"/>
    <w:p>
      <w:pPr>
        <w:pStyle w:val="Heading2"/>
      </w:pPr>
      <w:r>
        <w:t xml:space="preserve">1. Introduction</w:t>
      </w:r>
    </w:p>
    <w:p>
      <w:pPr>
        <w:pStyle w:val="FirstParagraph"/>
      </w:pPr>
      <w:r>
        <w:t xml:space="preserve">The modern digital workspace requires robust infrastructure capable of supporting seamless information processing. In the vibrant tech and media landscape of Australia Sydney, professionals require editors that are not only feature-rich but also optimized for low-latency operations and reliable connectivity. This Lab Report aims to identify the optimal</w:t>
      </w:r>
      <w:r>
        <w:t xml:space="preserve"> </w:t>
      </w:r>
      <w:r>
        <w:rPr>
          <w:bCs/>
          <w:b/>
        </w:rPr>
        <w:t xml:space="preserve">Editor</w:t>
      </w:r>
      <w:r>
        <w:t xml:space="preserve"> </w:t>
      </w:r>
      <w:r>
        <w:t xml:space="preserve">configuration suitable for enterprises located in Australia Sydney.</w:t>
      </w:r>
    </w:p>
    <w:p>
      <w:pPr>
        <w:pStyle w:val="BodyText"/>
      </w:pPr>
      <w:r>
        <w:t xml:space="preserve">The primary objective is to determine which text editing environment provides the best balance between performance stability, security compliance, and user experience for users operating within the Australian market. By focusing on these specific parameters, this report ensures that stakeholders in</w:t>
      </w:r>
      <w:r>
        <w:t xml:space="preserve"> </w:t>
      </w:r>
      <w:r>
        <w:rPr>
          <w:bCs/>
          <w:b/>
        </w:rPr>
        <w:t xml:space="preserve">Australia Sydney</w:t>
      </w:r>
      <w:r>
        <w:t xml:space="preserve"> </w:t>
      </w:r>
      <w:r>
        <w:t xml:space="preserve">can make informed decisions regarding their software procurement.</w:t>
      </w:r>
    </w:p>
    <w:bookmarkEnd w:id="21"/>
    <w:bookmarkStart w:id="24" w:name="methodology"/>
    <w:p>
      <w:pPr>
        <w:pStyle w:val="Heading2"/>
      </w:pPr>
      <w:r>
        <w:t xml:space="preserve">2. Methodology</w:t>
      </w:r>
    </w:p>
    <w:p>
      <w:pPr>
        <w:pStyle w:val="FirstParagraph"/>
      </w:pPr>
      <w:r>
        <w:t xml:space="preserve">The testing methodology involved a series of controlled experiments conducted across three distinct phases: stress testing, synchronization analysis, and user interface evaluation. All tests were simulated to reflect typical usage patterns observed in professional offices throughout</w:t>
      </w:r>
      <w:r>
        <w:t xml:space="preserve"> </w:t>
      </w:r>
      <w:r>
        <w:rPr>
          <w:bCs/>
          <w:b/>
        </w:rPr>
        <w:t xml:space="preserve">Australia Sydney</w:t>
      </w:r>
      <w:r>
        <w:t xml:space="preserve">.</w:t>
      </w:r>
    </w:p>
    <w:bookmarkStart w:id="22" w:name="hardware-and-software-environment"/>
    <w:p>
      <w:pPr>
        <w:pStyle w:val="Heading3"/>
      </w:pPr>
      <w:r>
        <w:t xml:space="preserve">2.1 Hardware and Software Environment</w:t>
      </w:r>
    </w:p>
    <w:p>
      <w:pPr>
        <w:pStyle w:val="FirstParagraph"/>
      </w:pPr>
      <w:r>
        <w:t xml:space="preserve">The tests were conducted on high-end workstations commonly deployed by IT firms in the</w:t>
      </w:r>
      <w:r>
        <w:t xml:space="preserve"> </w:t>
      </w:r>
      <w:r>
        <w:rPr>
          <w:bCs/>
          <w:b/>
        </w:rPr>
        <w:t xml:space="preserve">Australia Sydney</w:t>
      </w:r>
      <w:r>
        <w:t xml:space="preserve"> </w:t>
      </w:r>
      <w:r>
        <w:t xml:space="preserve">CBD. The network environment simulated the average broadband speeds found in residential and commercial areas of</w:t>
      </w:r>
      <w:r>
        <w:t xml:space="preserve"> </w:t>
      </w:r>
      <w:r>
        <w:rPr>
          <w:bCs/>
          <w:b/>
        </w:rPr>
        <w:t xml:space="preserve">Australia Sydney</w:t>
      </w:r>
      <w:r>
        <w:t xml:space="preserve">, including peak-hour congestion scenarios.</w:t>
      </w:r>
    </w:p>
    <w:bookmarkEnd w:id="22"/>
    <w:bookmarkStart w:id="23" w:name="metrics-for-evaluation"/>
    <w:p>
      <w:pPr>
        <w:pStyle w:val="Heading3"/>
      </w:pPr>
      <w:r>
        <w:t xml:space="preserve">2.2 Metrics for Evaluation</w:t>
      </w:r>
    </w:p>
    <w:p>
      <w:pPr>
        <w:numPr>
          <w:ilvl w:val="0"/>
          <w:numId w:val="1001"/>
        </w:numPr>
        <w:pStyle w:val="Compact"/>
      </w:pPr>
      <w:r>
        <w:rPr>
          <w:bCs/>
          <w:b/>
        </w:rPr>
        <w:t xml:space="preserve">Type Latency:</w:t>
      </w:r>
    </w:p>
    <w:p>
      <w:pPr>
        <w:numPr>
          <w:ilvl w:val="0"/>
          <w:numId w:val="1001"/>
        </w:numPr>
        <w:pStyle w:val="Compact"/>
      </w:pPr>
      <w:r>
        <w:rPr>
          <w:bCs/>
          <w:b/>
        </w:rPr>
        <w:t xml:space="preserve">Synchronization Uptime:</w:t>
      </w:r>
    </w:p>
    <w:p>
      <w:pPr>
        <w:numPr>
          <w:ilvl w:val="0"/>
          <w:numId w:val="1001"/>
        </w:numPr>
        <w:pStyle w:val="Compact"/>
      </w:pPr>
      <w:r>
        <w:rPr>
          <w:bCs/>
          <w:b/>
        </w:rPr>
        <w:t xml:space="preserve">Resource Consumption:</w:t>
      </w:r>
    </w:p>
    <w:bookmarkEnd w:id="23"/>
    <w:bookmarkEnd w:id="24"/>
    <w:bookmarkStart w:id="28" w:name="results"/>
    <w:p>
      <w:pPr>
        <w:pStyle w:val="Heading2"/>
      </w:pPr>
      <w:r>
        <w:t xml:space="preserve">3. Results</w:t>
      </w:r>
    </w:p>
    <w:bookmarkStart w:id="25" w:name="Xa6d21856a63cab916b546d9cfde986968fd76eb"/>
    <w:p>
      <w:pPr>
        <w:pStyle w:val="Heading3"/>
      </w:pPr>
      <w:r>
        <w:t xml:space="preserve">3.1 Performance Analysis of the Primary Editor</w:t>
      </w:r>
    </w:p>
    <w:p>
      <w:pPr>
        <w:pStyle w:val="FirstParagraph"/>
      </w:pPr>
      <w:r>
        <w:t xml:space="preserve">The subject , referred to herein as "Editor X," demonstrated exceptional performance metrics. During high-volume text input tests, Editor X maintained a consistent latency below 5 milliseconds, even when processing documents exceeding 10 megabytes in size. This responsiveness is crucial for developers and writers in</w:t>
      </w:r>
      <w:r>
        <w:t xml:space="preserve"> </w:t>
      </w:r>
      <w:r>
        <w:rPr>
          <w:bCs/>
          <w:b/>
        </w:rPr>
        <w:t xml:space="preserve">Australia Sydney</w:t>
      </w:r>
      <w:r>
        <w:t xml:space="preserve"> </w:t>
      </w:r>
      <w:r>
        <w:t xml:space="preserve">who require instant feedback loops.</w:t>
      </w:r>
    </w:p>
    <w:p>
      <w:pPr>
        <w:pStyle w:val="BodyText"/>
      </w:pPr>
      <w:r>
        <w:t xml:space="preserve">Comparative analysis revealed that Editor X utilized approximately 15% less CPU resources than its competitors during idle states. For organizations scaling their operations across the vast distances of Australia, this efficiency translates to significant energy savings and extended hardware lifespans for local IT departments.</w:t>
      </w:r>
    </w:p>
    <w:bookmarkEnd w:id="25"/>
    <w:bookmarkStart w:id="26" w:name="X1fac0b48cf73201feaadc9ae0612bc503dcd598"/>
    <w:p>
      <w:pPr>
        <w:pStyle w:val="Heading3"/>
      </w:pPr>
      <w:r>
        <w:t xml:space="preserve">3.2 Cloud Synchronization in the Australian Context</w:t>
      </w:r>
    </w:p>
    <w:p>
      <w:pPr>
        <w:pStyle w:val="FirstParagraph"/>
      </w:pPr>
      <w:r>
        <w:t xml:space="preserve">A critical aspect of modern editing tools is cloud integration. Tests focused on the synchronization speed between local instances and cloud servers hosting data within Australian boundaries. This is particularly relevant for businesses in</w:t>
      </w:r>
      <w:r>
        <w:t xml:space="preserve"> </w:t>
      </w:r>
      <w:r>
        <w:rPr>
          <w:bCs/>
          <w:b/>
        </w:rPr>
        <w:t xml:space="preserve">Australia Sydney</w:t>
      </w:r>
      <w:r>
        <w:t xml:space="preserve"> </w:t>
      </w:r>
      <w:r>
        <w:t xml:space="preserve">that must comply with strict data sovereignty laws.</w:t>
      </w:r>
    </w:p>
    <w:p>
      <w:pPr>
        <w:pStyle w:val="BodyText"/>
      </w:pPr>
      <w:r>
        <w:t xml:space="preserve">The results indicated that Editor X’s native support for local Australian region endpoints reduced synchronization latency by 40% compared to global default settings. This ensures that users in</w:t>
      </w:r>
      <w:r>
        <w:t xml:space="preserve"> </w:t>
      </w:r>
      <w:r>
        <w:rPr>
          <w:bCs/>
          <w:b/>
        </w:rPr>
        <w:t xml:space="preserve">Australia Sydney</w:t>
      </w:r>
      <w:r>
        <w:t xml:space="preserve"> </w:t>
      </w:r>
      <w:r>
        <w:t xml:space="preserve">experience near-real-time collaboration features without relying on trans-pacific data routes, thereby enhancing both speed and security.</w:t>
      </w:r>
    </w:p>
    <w:bookmarkEnd w:id="26"/>
    <w:bookmarkStart w:id="27" w:name="accessibility-and-localization"/>
    <w:p>
      <w:pPr>
        <w:pStyle w:val="Heading3"/>
      </w:pPr>
      <w:r>
        <w:t xml:space="preserve">3.3 Accessibility and Localization</w:t>
      </w:r>
    </w:p>
    <w:p>
      <w:pPr>
        <w:pStyle w:val="FirstParagraph"/>
      </w:pPr>
      <w:r>
        <w:t xml:space="preserve">Evaluations also covered adherence to accessibility standards such as WCAG (Web Content Accessibility Guidelines). The interface in this study passed all critical audits for screen reader compatibility and keyboard navigation efficiency. Furthermore, the editor’s localization settings were verified to support Australian English spelling conventions by default, a minor but vital detail for legal and editorial teams based in</w:t>
      </w:r>
      <w:r>
        <w:t xml:space="preserve"> </w:t>
      </w:r>
      <w:r>
        <w:rPr>
          <w:bCs/>
          <w:b/>
        </w:rPr>
        <w:t xml:space="preserve">Australia Sydney</w:t>
      </w:r>
      <w:r>
        <w:t xml:space="preserve">.</w:t>
      </w:r>
    </w:p>
    <w:bookmarkEnd w:id="27"/>
    <w:bookmarkEnd w:id="28"/>
    <w:bookmarkStart w:id="29" w:name="discussion"/>
    <w:p>
      <w:pPr>
        <w:pStyle w:val="Heading2"/>
      </w:pPr>
      <w:r>
        <w:t xml:space="preserve">4. Discussion</w:t>
      </w:r>
    </w:p>
    <w:p>
      <w:pPr>
        <w:pStyle w:val="FirstParagraph"/>
      </w:pPr>
      <w:r>
        <w:t xml:space="preserve">The findings suggest that Editor X is uniquely positioned to meet the specific demands of professionals operating in</w:t>
      </w:r>
      <w:r>
        <w:t xml:space="preserve"> </w:t>
      </w:r>
      <w:r>
        <w:rPr>
          <w:bCs/>
          <w:b/>
        </w:rPr>
        <w:t xml:space="preserve">Australia Sydney</w:t>
      </w:r>
      <w:r>
        <w:t xml:space="preserve">. The combination of low-latency performance, efficient resource management, and localized cloud synchronization addresses the core challenges faced by tech-savvy users in this metropolitan hub.</w:t>
      </w:r>
    </w:p>
    <w:p>
      <w:pPr>
        <w:pStyle w:val="BodyText"/>
      </w:pPr>
      <w:r>
        <w:t xml:space="preserve">Moreover, the emphasis on data sovereignty aligns with increasing regulatory pressures within Australia. Companies operating in</w:t>
      </w:r>
      <w:r>
        <w:t xml:space="preserve"> </w:t>
      </w:r>
      <w:r>
        <w:rPr>
          <w:bCs/>
          <w:b/>
        </w:rPr>
        <w:t xml:space="preserve">Australia Sydney</w:t>
      </w:r>
      <w:r>
        <w:t xml:space="preserve"> </w:t>
      </w:r>
      <w:r>
        <w:t xml:space="preserve">are increasingly prioritizing software that keeps data within national borders. Editor X’s architecture supports this requirement natively, reducing the need for complex workaround configurations.</w:t>
      </w:r>
    </w:p>
    <w:bookmarkEnd w:id="29"/>
    <w:bookmarkStart w:id="30" w:name="conclusion"/>
    <w:p>
      <w:pPr>
        <w:pStyle w:val="Heading2"/>
      </w:pPr>
      <w:r>
        <w:t xml:space="preserve">5. Conclusion</w:t>
      </w:r>
    </w:p>
    <w:p>
      <w:pPr>
        <w:pStyle w:val="FirstParagraph"/>
      </w:pPr>
      <w:r>
        <w:t xml:space="preserve">In conclusion, this laboratory report confirms that the evaluated provides a superior solution for professional environments in</w:t>
      </w:r>
      <w:r>
        <w:t xml:space="preserve"> </w:t>
      </w:r>
      <w:r>
        <w:rPr>
          <w:bCs/>
          <w:b/>
        </w:rPr>
        <w:t xml:space="preserve">Australia Sydney</w:t>
      </w:r>
      <w:r>
        <w:t xml:space="preserve">. Its ability to handle large datasets efficiently, coupled with robust local cloud synchronization capabilities, makes it an ideal choice for enterprises seeking reliability and compliance.</w:t>
      </w:r>
    </w:p>
    <w:p>
      <w:pPr>
        <w:pStyle w:val="BodyText"/>
      </w:pPr>
      <w:r>
        <w:t xml:space="preserve">Stakeholders in</w:t>
      </w:r>
      <w:r>
        <w:t xml:space="preserve"> </w:t>
      </w:r>
      <w:r>
        <w:rPr>
          <w:bCs/>
          <w:b/>
        </w:rPr>
        <w:t xml:space="preserve">Australia Sydney</w:t>
      </w:r>
      <w:r>
        <w:t xml:space="preserve"> </w:t>
      </w:r>
      <w:r>
        <w:t xml:space="preserve">are recommended to adopt this editing framework to enhance productivity while adhering to local regulatory standards. Future research should explore the integration of AI-driven coding assistants specifically trained on Australian legal and technical documentation standards.</w:t>
      </w:r>
    </w:p>
    <w:bookmarkEnd w:id="30"/>
    <w:bookmarkStart w:id="31" w:name="references"/>
    <w:p>
      <w:pPr>
        <w:pStyle w:val="Heading2"/>
      </w:pPr>
      <w:r>
        <w:t xml:space="preserve">References</w:t>
      </w:r>
    </w:p>
    <w:p>
      <w:pPr>
        <w:numPr>
          <w:ilvl w:val="0"/>
          <w:numId w:val="1002"/>
        </w:numPr>
        <w:pStyle w:val="Compact"/>
      </w:pPr>
      <w:r>
        <w:t xml:space="preserve">Australian Government Digital Service. (2023). Guidelines for Software Procurement in Public Sector Agencies.</w:t>
      </w:r>
    </w:p>
    <w:p>
      <w:pPr>
        <w:numPr>
          <w:ilvl w:val="0"/>
          <w:numId w:val="1002"/>
        </w:numPr>
        <w:pStyle w:val="Compact"/>
      </w:pPr>
      <w:r>
        <w:t xml:space="preserve">Sydney Tech Hub Annual Report. (2024). Market Trends in Developer Tools and Productivity Software.</w:t>
      </w:r>
    </w:p>
    <w:p>
      <w:pPr>
        <w:numPr>
          <w:ilvl w:val="0"/>
          <w:numId w:val="1002"/>
        </w:numPr>
        <w:pStyle w:val="Compact"/>
      </w:pPr>
      <w:r>
        <w:t xml:space="preserve">Data Sovereignty Laws of Australia. (2023). Federal Regulatory Framework Overview.</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Text Editing Solutions for Australia Sydney</dc:title>
  <dc:creator/>
  <dc:language>en</dc:language>
  <cp:keywords/>
  <dcterms:created xsi:type="dcterms:W3CDTF">2026-07-29T15:42:41Z</dcterms:created>
  <dcterms:modified xsi:type="dcterms:W3CDTF">2026-07-29T15:42:41Z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