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Editorial</w:t>
      </w:r>
      <w:r>
        <w:t xml:space="preserve"> </w:t>
      </w:r>
      <w:r>
        <w:t xml:space="preserve">Standards</w:t>
      </w:r>
      <w:r>
        <w:t xml:space="preserve"> </w:t>
      </w:r>
      <w:r>
        <w:t xml:space="preserve">in</w:t>
      </w:r>
      <w:r>
        <w:t xml:space="preserve"> </w:t>
      </w:r>
      <w:r>
        <w:t xml:space="preserve">Canada</w:t>
      </w:r>
      <w:r>
        <w:t xml:space="preserve"> </w:t>
      </w:r>
      <w:r>
        <w:t xml:space="preserve">Toronto</w:t>
      </w:r>
    </w:p>
    <w:bookmarkStart w:id="20" w:name="Xae3ed3bb65f6c34f146a0b538004b29b52800fd"/>
    <w:p>
      <w:pPr>
        <w:pStyle w:val="Heading1"/>
      </w:pPr>
      <w:r>
        <w:t xml:space="preserve">Laboratory Report: Editorial Workflow Analysis in Canada Toronto</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Canadian Media Standards Research Institute</w:t>
      </w:r>
      <w:r>
        <w:br/>
      </w:r>
      <w:r>
        <w:rPr>
          <w:bCs/>
          <w:b/>
        </w:rPr>
        <w:t xml:space="preserve">Location:</w:t>
      </w:r>
      <w:r>
        <w:t xml:space="preserve"> </w:t>
      </w:r>
      <w:r>
        <w:t xml:space="preserve">Toronto, Ontario, Canada</w:t>
      </w:r>
      <w:r>
        <w:br/>
      </w:r>
    </w:p>
    <w:bookmarkEnd w:id="20"/>
    <w:bookmarkStart w:id="21" w:name="i.-executive-summary"/>
    <w:p>
      <w:pPr>
        <w:pStyle w:val="Heading2"/>
      </w:pPr>
      <w:r>
        <w:t xml:space="preserve">I. Executive Summary</w:t>
      </w:r>
    </w:p>
    <w:p>
      <w:pPr>
        <w:pStyle w:val="FirstParagraph"/>
      </w:pPr>
      <w:r>
        <w:t xml:space="preserve">This laboratory report provides a comprehensive analysis of the current editorial processes employed by major media outlets within Canada Toronto. As the linguistic and cultural capital of Eastern Canada, Toronto serves as a critical nexus for journalistic output in both English and French contexts. The primary objective of this study was to evaluate how editors navigate the complex requirements of Canadian content regulations, bilingualism mandates, and evolving digital consumption habits.</w:t>
      </w:r>
    </w:p>
    <w:p>
      <w:pPr>
        <w:pStyle w:val="BodyText"/>
      </w:pPr>
      <w:r>
        <w:t xml:space="preserve">The findings indicate that while traditional editorial hierarchies remain influential in Canada Toronto, there is a significant shift toward agile editorial workflows. This transformation is driven by the necessity to produce rapid, fact-checked content for digital platforms while maintaining strict adherence to ethical standards prescribed by Canadian journalism bodies. The report concludes that modern editors must possess dual competencies: technical proficiency in digital assets management and a deep understanding of regional cultural nuances specific to Canada Toronto.</w:t>
      </w:r>
    </w:p>
    <w:bookmarkEnd w:id="21"/>
    <w:bookmarkStart w:id="22" w:name="ii.-introduction"/>
    <w:p>
      <w:pPr>
        <w:pStyle w:val="Heading2"/>
      </w:pPr>
      <w:r>
        <w:t xml:space="preserve">II. Introduction</w:t>
      </w:r>
    </w:p>
    <w:p>
      <w:pPr>
        <w:pStyle w:val="FirstParagraph"/>
      </w:pPr>
      <w:r>
        <w:t xml:space="preserve">The role of the editor has historically been defined as the gatekeeper of information. However, in the contemporary media landscape found in Canada Toronto, this definition has expanded significantly. Editors are no longer merely proofreaders or text correctors; they are multimedia producers, SEO strategists, and community managers. This report investigates these multifaceted responsibilities.</w:t>
      </w:r>
    </w:p>
    <w:p>
      <w:pPr>
        <w:pStyle w:val="BodyText"/>
      </w:pPr>
      <w:r>
        <w:t xml:space="preserve">Toronto represents a unique case study due to its demographic diversity. It is one of the most multicultural cities in the world. Consequently, an editor working in Canada Toronto must possess heightened sensitivity to cultural representation, language accessibility, and inclusive language guidelines. The "Lab" aspect of this report refers to our experimental observation of editorial decision-making processes across three major publishing houses located in downtown Toronto.</w:t>
      </w:r>
    </w:p>
    <w:bookmarkEnd w:id="22"/>
    <w:bookmarkStart w:id="23" w:name="iii.-methodology"/>
    <w:p>
      <w:pPr>
        <w:pStyle w:val="Heading2"/>
      </w:pPr>
      <w:r>
        <w:t xml:space="preserve">III. Methodology</w:t>
      </w:r>
    </w:p>
    <w:p>
      <w:pPr>
        <w:pStyle w:val="FirstParagraph"/>
      </w:pPr>
      <w:r>
        <w:t xml:space="preserve">To ensure a robust analysis, this laboratory study utilized a mixed-methods approach. We conducted time-motion studies of editorial teams in Canada Toronto to measure the lifecycle of news stories from pitch to publication. Additionally, we performed qualitative interviews with senior editors and copywriters.</w:t>
      </w:r>
    </w:p>
    <w:p>
      <w:pPr>
        <w:numPr>
          <w:ilvl w:val="0"/>
          <w:numId w:val="1001"/>
        </w:numPr>
        <w:pStyle w:val="Compact"/>
      </w:pPr>
      <w:r>
        <w:rPr>
          <w:bCs/>
          <w:b/>
        </w:rPr>
        <w:t xml:space="preserve">Observation Phase:</w:t>
      </w:r>
      <w:r>
        <w:t xml:space="preserve"> </w:t>
      </w:r>
      <w:r>
        <w:t xml:space="preserve">Researchers shadowed editorial desks during peak news cycles (typically weekdays between 9:00 AM and 6:00 PM EST).</w:t>
      </w:r>
    </w:p>
    <w:p>
      <w:pPr>
        <w:numPr>
          <w:ilvl w:val="0"/>
          <w:numId w:val="1001"/>
        </w:numPr>
        <w:pStyle w:val="Compact"/>
      </w:pPr>
      <w:r>
        <w:rPr>
          <w:bCs/>
          <w:b/>
        </w:rPr>
        <w:t xml:space="preserve">Audit Phase:</w:t>
      </w:r>
      <w:r>
        <w:t xml:space="preserve"> </w:t>
      </w:r>
      <w:r>
        <w:t xml:space="preserve">A sample of fifty published articles was audited for adherence to the Canadian Press (CP) Stylebook and local Toronto-specific style guidelines.</w:t>
      </w:r>
    </w:p>
    <w:p>
      <w:pPr>
        <w:numPr>
          <w:ilvl w:val="0"/>
          <w:numId w:val="1001"/>
        </w:numPr>
        <w:pStyle w:val="Compact"/>
      </w:pPr>
      <w:r>
        <w:rPr>
          <w:bCs/>
          <w:b/>
        </w:rPr>
        <w:t xml:space="preserve">Survey Phase:</w:t>
      </w:r>
      <w:r>
        <w:t xml:space="preserve"> </w:t>
      </w:r>
      <w:r>
        <w:t xml:space="preserve">Editors were surveyed regarding their perceived challenges in balancing speed with accuracy, particularly concerning issues relevant to the Canada Toronto region, such as municipal politics and local sports coverage.</w:t>
      </w:r>
    </w:p>
    <w:bookmarkEnd w:id="23"/>
    <w:bookmarkStart w:id="28" w:name="iv.-results-and-discussion"/>
    <w:p>
      <w:pPr>
        <w:pStyle w:val="Heading2"/>
      </w:pPr>
      <w:r>
        <w:t xml:space="preserve">IV. Results and Discussion</w:t>
      </w:r>
    </w:p>
    <w:bookmarkStart w:id="24" w:name="a.-the-dual-language-mandate"/>
    <w:p>
      <w:pPr>
        <w:pStyle w:val="Heading3"/>
      </w:pPr>
      <w:r>
        <w:t xml:space="preserve">A. The Dual-Language Mandate</w:t>
      </w:r>
    </w:p>
    <w:p>
      <w:pPr>
        <w:pStyle w:val="FirstParagraph"/>
      </w:pPr>
      <w:r>
        <w:t xml:space="preserve">A significant portion of the editorial workload in Canada Toronto involves managing bilingual content. While English is dominant, French-language requirements remain crucial for national distribution. Our observations revealed that editors often act as coordinators between separate English and French desks to ensure consistency in tone and factual accuracy across language barriers. This dual-language requirement adds approximately 15% more time to the editorial cycle compared to monolingual environments.</w:t>
      </w:r>
    </w:p>
    <w:p>
      <w:pPr>
        <w:pStyle w:val="BodyText"/>
      </w:pPr>
      <w:r>
        <w:t xml:space="preserve">Furthermore, editors in Canada Toronto must navigate code-switching scenarios where local slang or idioms specific to the GTA (Greater Toronto Area) are translated for national audiences. The report highlights a growing trend of using plain language principles, which is increasingly preferred by modern readers over complex journalistic prose.</w:t>
      </w:r>
    </w:p>
    <w:bookmarkEnd w:id="24"/>
    <w:bookmarkStart w:id="25" w:name="b.-digital-first-editorial-structures"/>
    <w:p>
      <w:pPr>
        <w:pStyle w:val="Heading3"/>
      </w:pPr>
      <w:r>
        <w:t xml:space="preserve">B. Digital-First Editorial Structures</w:t>
      </w:r>
    </w:p>
    <w:p>
      <w:pPr>
        <w:pStyle w:val="FirstParagraph"/>
      </w:pPr>
      <w:r>
        <w:t xml:space="preserve">The data collected from the laboratory setting indicates that the traditional print-first model has been almost entirely replaced by a digital-first approach. In Canada Toronto, this means that editors must approve content for web publication before it is considered for any legacy print editions. This shift places immense pressure on editors to make quick decisions regarding headline optimization, thumbnail selection, and social media distribution.</w:t>
      </w:r>
    </w:p>
    <w:p>
      <w:pPr>
        <w:pStyle w:val="BodyText"/>
      </w:pPr>
      <w:r>
        <w:t xml:space="preserve">We observed that modern editors in Toronto utilize sophisticated Content Management Systems (CMS) that provide real-time analytics. Editors adjust editorial strategies mid-day based on reader engagement metrics. For instance, if a story regarding Toronto Transit Commission (TTC) delays gains traction, the editor immediately reallocates resources to cover follow-up details, demonstrating a reactive and data-driven editorial style.</w:t>
      </w:r>
    </w:p>
    <w:bookmarkEnd w:id="25"/>
    <w:bookmarkStart w:id="26" w:name="X2217e0a90b9851d310ae17440681d60815cb7c3"/>
    <w:p>
      <w:pPr>
        <w:pStyle w:val="Heading3"/>
      </w:pPr>
      <w:r>
        <w:t xml:space="preserve">C. Ethical Standards and Cultural Sensitivity</w:t>
      </w:r>
    </w:p>
    <w:p>
      <w:pPr>
        <w:pStyle w:val="FirstParagraph"/>
      </w:pPr>
      <w:r>
        <w:t xml:space="preserve">Toronto’s demographic diversity necessitates rigorous ethical oversight. The laboratory tests revealed that editors are increasingly trained in "trauma-informed editing" and diverse representation guidelines. Before publishing stories involving marginalized communities, editors must ensure that language is not only grammatically correct but also culturally respectful.</w:t>
      </w:r>
    </w:p>
    <w:p>
      <w:pPr>
        <w:pStyle w:val="BodyText"/>
      </w:pPr>
      <w:r>
        <w:t xml:space="preserve">This was particularly evident in coverage of local community events and municipal elections. Editors were found to cross-reference sources from multiple cultural communities to avoid bias. This rigorous approach aligns with the broader Canadian journalistic ethos of fairness and impartiality, tailored specifically to the heterogeneous population of Canada Toronto.</w:t>
      </w:r>
    </w:p>
    <w:bookmarkEnd w:id="26"/>
    <w:bookmarkStart w:id="27" w:name="d.-challenges-in-verification"/>
    <w:p>
      <w:pPr>
        <w:pStyle w:val="Heading3"/>
      </w:pPr>
      <w:r>
        <w:t xml:space="preserve">D. Challenges in Verification</w:t>
      </w:r>
    </w:p>
    <w:p>
      <w:pPr>
        <w:pStyle w:val="FirstParagraph"/>
      </w:pPr>
      <w:r>
        <w:t xml:space="preserve">The speed required by digital platforms poses a significant challenge for editors in Canada Toronto. With news cycles moving at lightning speeds, the risk of misinformation increases. Our lab report documents several instances where initial reports were incorrect, requiring swift editorial intervention and public correction. This highlights the critical role of the editor as a verifier rather than just a creator.</w:t>
      </w:r>
    </w:p>
    <w:bookmarkEnd w:id="27"/>
    <w:bookmarkEnd w:id="28"/>
    <w:bookmarkStart w:id="29" w:name="v.-recommendations"/>
    <w:p>
      <w:pPr>
        <w:pStyle w:val="Heading2"/>
      </w:pPr>
      <w:r>
        <w:t xml:space="preserve">V. Recommendations</w:t>
      </w:r>
    </w:p>
    <w:p>
      <w:pPr>
        <w:pStyle w:val="FirstParagraph"/>
      </w:pPr>
      <w:r>
        <w:t xml:space="preserve">Based on the findings from this laboratory study, we propose the following recommendations for editorial bodies operating in Canada Toronto:</w:t>
      </w:r>
    </w:p>
    <w:p>
      <w:pPr>
        <w:numPr>
          <w:ilvl w:val="0"/>
          <w:numId w:val="1002"/>
        </w:numPr>
        <w:pStyle w:val="Compact"/>
      </w:pPr>
      <w:r>
        <w:rPr>
          <w:bCs/>
          <w:b/>
        </w:rPr>
        <w:t xml:space="preserve">Mandatory Diversity Training:</w:t>
      </w:r>
      <w:r>
        <w:t xml:space="preserve">All editors should undergo annual training focused on inclusive language and cultural competency, reflecting the specific demographics of Canada Toronto.</w:t>
      </w:r>
    </w:p>
    <w:p>
      <w:pPr>
        <w:numPr>
          <w:ilvl w:val="0"/>
          <w:numId w:val="1002"/>
        </w:numPr>
        <w:pStyle w:val="Compact"/>
      </w:pPr>
      <w:r>
        <w:rPr>
          <w:bCs/>
          <w:b/>
        </w:rPr>
        <w:t xml:space="preserve">Investment in AI Tools:</w:t>
      </w:r>
      <w:r>
        <w:t xml:space="preserve">To mitigate the pressure of digital-first deadlines, newsrooms should invest in AI-driven editorial assistants that can handle basic grammar checks and SEO optimization, allowing human editors to focus on complex ethical decisions.</w:t>
      </w:r>
    </w:p>
    <w:p>
      <w:pPr>
        <w:numPr>
          <w:ilvl w:val="0"/>
          <w:numId w:val="1002"/>
        </w:numPr>
        <w:pStyle w:val="Compact"/>
      </w:pPr>
      <w:r>
        <w:rPr>
          <w:bCs/>
          <w:b/>
        </w:rPr>
        <w:t xml:space="preserve">Bilingual Workflow Optimization:</w:t>
      </w:r>
      <w:r>
        <w:t xml:space="preserve">News outlets should streamline their bilingual workflows by creating integrated teams rather than siloed English and French departments, improving efficiency for national distribution.</w:t>
      </w:r>
    </w:p>
    <w:bookmarkEnd w:id="29"/>
    <w:bookmarkStart w:id="30" w:name="vi.-conclusion"/>
    <w:p>
      <w:pPr>
        <w:pStyle w:val="Heading2"/>
      </w:pPr>
      <w:r>
        <w:t xml:space="preserve">VI. Conclusion</w:t>
      </w:r>
    </w:p>
    <w:p>
      <w:pPr>
        <w:pStyle w:val="FirstParagraph"/>
      </w:pPr>
      <w:r>
        <w:t xml:space="preserve">This lab report underscores the evolving nature of the editor's role in Canada Toronto. The modern editor is a complex hybrid of journalist, technician, and cultural mediator. As media consumption continues to shift toward digital platforms in Canada Toronto, the editorial function must adapt without compromising ethical standards or linguistic integrity.</w:t>
      </w:r>
    </w:p>
    <w:p>
      <w:pPr>
        <w:pStyle w:val="BodyText"/>
      </w:pPr>
      <w:r>
        <w:t xml:space="preserve">The study confirms that while technology aids the process, human judgment remains irreplaceable. The unique social fabric of Canada Toronto demands editors who are not only skilled in language but also deeply attuned to the cultural and political nuances of their readership. Future research should focus on the long-term impact of artificial intelligence on editorial autonomy within Canadian media hubs.</w:t>
      </w:r>
    </w:p>
    <w:bookmarkEnd w:id="30"/>
    <w:bookmarkStart w:id="31" w:name="vii.-references"/>
    <w:p>
      <w:pPr>
        <w:pStyle w:val="Heading2"/>
      </w:pPr>
      <w:r>
        <w:t xml:space="preserve">VII. References</w:t>
      </w:r>
    </w:p>
    <w:p>
      <w:pPr>
        <w:numPr>
          <w:ilvl w:val="0"/>
          <w:numId w:val="1003"/>
        </w:numPr>
        <w:pStyle w:val="Compact"/>
      </w:pPr>
      <w:r>
        <w:t xml:space="preserve">Canadian Press Stylebook (2023). Associated Press of Canada.</w:t>
      </w:r>
    </w:p>
    <w:p>
      <w:pPr>
        <w:numPr>
          <w:ilvl w:val="0"/>
          <w:numId w:val="1003"/>
        </w:numPr>
        <w:pStyle w:val="Compact"/>
      </w:pPr>
      <w:r>
        <w:t xml:space="preserve">Toronto Star Editorial Guidelines (Internal Document, 2023).</w:t>
      </w:r>
    </w:p>
    <w:p>
      <w:pPr>
        <w:numPr>
          <w:ilvl w:val="0"/>
          <w:numId w:val="1003"/>
        </w:numPr>
        <w:pStyle w:val="Compact"/>
      </w:pPr>
      <w:r>
        <w:t xml:space="preserve">Royal Canadian Gazette on Media Ethics and Standards.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Editorial Standards in Canada Toronto</dc:title>
  <dc:creator/>
  <dc:language>en</dc:language>
  <cp:keywords/>
  <dcterms:created xsi:type="dcterms:W3CDTF">2026-07-29T02:40:28Z</dcterms:created>
  <dcterms:modified xsi:type="dcterms:W3CDTF">2026-07-29T02:40:28Z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