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Editor</w:t>
      </w:r>
      <w:r>
        <w:t xml:space="preserve"> </w:t>
      </w:r>
      <w:r>
        <w:t xml:space="preserve">Evaluation</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0" w:name="X656e94bcfda25566640eb6e8c56e6b7f839a91e"/>
    <w:p>
      <w:pPr>
        <w:pStyle w:val="Heading1"/>
      </w:pPr>
      <w:r>
        <w:t xml:space="preserve">Laboratory Evaluation Report: Text Editor Suitability for German Markets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Berlin, Germany</w:t>
      </w:r>
      <w:r>
        <w:br/>
      </w:r>
      <w:r>
        <w:rPr>
          <w:bCs/>
          <w:b/>
        </w:rPr>
        <w:t xml:space="preserve">Status:</w:t>
      </w:r>
      <w:r>
        <w:t xml:space="preserve"> </w:t>
      </w:r>
      <w:r>
        <w:t xml:space="preserve">Finalized</w:t>
      </w:r>
    </w:p>
    <w:bookmarkEnd w:id="20"/>
    <w:bookmarkStart w:id="21" w:name="introduction-and-objectives"/>
    <w:p>
      <w:pPr>
        <w:pStyle w:val="Heading2"/>
      </w:pPr>
      <w:r>
        <w:t xml:space="preserve">1. Introduction and Objectives</w:t>
      </w:r>
    </w:p>
    <w:p>
      <w:pPr>
        <w:pStyle w:val="FirstParagraph"/>
      </w:pPr>
      <w:r>
        <w:br/>
      </w:r>
      <w:r>
        <w:t xml:space="preserve">In the rapidly evolving technological landscape of Europe, Berlin has emerged as a critical hub for software development, digital innovation, and cross-border commerce. As a multicultural capital with a robust startup ecosystem and established corporate headquarters, the city serves as an ideal testing ground for evaluating tools intended for widespread adoption across German-speaking regions. This lab report focuses specifically on the evaluation of various</w:t>
      </w:r>
      <w:r>
        <w:t xml:space="preserve"> </w:t>
      </w:r>
      <w:r>
        <w:rPr>
          <w:bCs/>
          <w:b/>
        </w:rPr>
        <w:t xml:space="preserve">Editor</w:t>
      </w:r>
      <w:r>
        <w:t xml:space="preserve"> </w:t>
      </w:r>
      <w:r>
        <w:t xml:space="preserve">applications designed to meet local linguistic, regulatory, and functional requirements.</w:t>
      </w:r>
    </w:p>
    <w:p>
      <w:pPr>
        <w:pStyle w:val="BodyText"/>
      </w:pPr>
      <w:r>
        <w:br/>
      </w:r>
      <w:r>
        <w:t xml:space="preserve">The primary objective of this laboratory study was to determine which text editor solutions are best suited for deployment within</w:t>
      </w:r>
      <w:r>
        <w:t xml:space="preserve"> </w:t>
      </w:r>
      <w:r>
        <w:rPr>
          <w:bCs/>
          <w:b/>
        </w:rPr>
        <w:t xml:space="preserve">Germany Berlin</w:t>
      </w:r>
      <w:r>
        <w:t xml:space="preserve">. The evaluation criteria included support for specific German linguistic features (such as umlauts and the sharp s), adherence to European Union data privacy regulations, integration with local enterprise software standards, and overall user experience efficiency. By focusing on these aspects, we aim to provide stakeholders in</w:t>
      </w:r>
      <w:r>
        <w:t xml:space="preserve"> </w:t>
      </w:r>
      <w:r>
        <w:rPr>
          <w:bCs/>
          <w:b/>
        </w:rPr>
        <w:t xml:space="preserve">Germany Berlin</w:t>
      </w:r>
      <w:r>
        <w:t xml:space="preserve"> </w:t>
      </w:r>
      <w:r>
        <w:t xml:space="preserve">with a comprehensive understanding of how modern</w:t>
      </w:r>
      <w:r>
        <w:t xml:space="preserve"> </w:t>
      </w:r>
      <w:r>
        <w:rPr>
          <w:bCs/>
          <w:b/>
        </w:rPr>
        <w:t xml:space="preserve">Editor</w:t>
      </w:r>
      <w:r>
        <w:t xml:space="preserve"> </w:t>
      </w:r>
      <w:r>
        <w:t xml:space="preserve">technologies can enhance productivity while maintaining compliance and cultural relevance.</w:t>
      </w:r>
    </w:p>
    <w:p>
      <w:pPr>
        <w:pStyle w:val="BodyText"/>
      </w:pPr>
      <w:r>
        <w:br/>
      </w:r>
      <w:r>
        <w:t xml:space="preserve">Furthermore, this report emphasizes the unique characteristics of the</w:t>
      </w:r>
      <w:r>
        <w:t xml:space="preserve"> </w:t>
      </w:r>
      <w:r>
        <w:rPr>
          <w:bCs/>
          <w:b/>
        </w:rPr>
        <w:t xml:space="preserve">Germany Berlin</w:t>
      </w:r>
      <w:r>
        <w:t xml:space="preserve"> </w:t>
      </w:r>
      <w:r>
        <w:t xml:space="preserve">market. Unlike other European capitals, Berlin presents a distinct blend of legacy industrial software usage and cutting-edge agile development practices. Therefore, any recommended</w:t>
      </w:r>
      <w:r>
        <w:t xml:space="preserve"> </w:t>
      </w:r>
      <w:r>
        <w:rPr>
          <w:bCs/>
          <w:b/>
        </w:rPr>
        <w:t xml:space="preserve">Editor</w:t>
      </w:r>
      <w:r>
        <w:t xml:space="preserve"> </w:t>
      </w:r>
      <w:r>
        <w:t xml:space="preserve">must be versatile enough to handle both traditional document creation in regulated industries and rapid code compilation for tech startups.</w:t>
      </w:r>
    </w:p>
    <w:p>
      <w:pPr>
        <w:pStyle w:val="BodyText"/>
      </w:pPr>
      <w:r>
        <w:br/>
      </w:r>
      <w:r>
        <w:t xml:space="preserve">This introduction sets the stage for a detailed analysis that bridges the gap between generic international software capabilities and the specific needs of users operating within</w:t>
      </w:r>
      <w:r>
        <w:t xml:space="preserve"> </w:t>
      </w:r>
      <w:r>
        <w:rPr>
          <w:bCs/>
          <w:b/>
        </w:rPr>
        <w:t xml:space="preserve">Germany Berlin</w:t>
      </w:r>
      <w:r>
        <w:t xml:space="preserve">. The subsequent sections will detail methodology, testing conditions, results, and recommendations tailored explicitly to this geographic and professional context.</w:t>
      </w:r>
    </w:p>
    <w:bookmarkEnd w:id="21"/>
    <w:bookmarkStart w:id="22" w:name="methodology-and-testing-environment"/>
    <w:p>
      <w:pPr>
        <w:pStyle w:val="Heading2"/>
      </w:pPr>
      <w:r>
        <w:t xml:space="preserve">2. Methodology and Testing Environment</w:t>
      </w:r>
    </w:p>
    <w:p>
      <w:pPr>
        <w:pStyle w:val="FirstParagraph"/>
      </w:pPr>
      <w:r>
        <w:br/>
      </w:r>
      <w:r>
        <w:t xml:space="preserve">To ensure the validity of our findings regarding the performance of different</w:t>
      </w:r>
      <w:r>
        <w:t xml:space="preserve"> </w:t>
      </w:r>
      <w:r>
        <w:rPr>
          <w:bCs/>
          <w:b/>
        </w:rPr>
        <w:t xml:space="preserve">Editor</w:t>
      </w:r>
      <w:r>
        <w:t xml:space="preserve"> </w:t>
      </w:r>
      <w:r>
        <w:t xml:space="preserve">platforms, we established a controlled testing environment located in central Berlin. The hardware configuration consisted of high-performance workstations representative of typical enterprise deployments found across</w:t>
      </w:r>
      <w:r>
        <w:t xml:space="preserve"> </w:t>
      </w:r>
      <w:r>
        <w:rPr>
          <w:bCs/>
          <w:b/>
        </w:rPr>
        <w:t xml:space="preserve">Germany Berlin</w:t>
      </w:r>
      <w:r>
        <w:t xml:space="preserve">. These machines were equipped with standard operating systems commonly used in German corporate IT infrastructures, including Windows 10/11 Enterprise and recent Linux distributions favored by local developers.</w:t>
      </w:r>
    </w:p>
    <w:p>
      <w:pPr>
        <w:pStyle w:val="BodyText"/>
      </w:pPr>
      <w:r>
        <w:br/>
      </w:r>
      <w:r>
        <w:t xml:space="preserve">The testing protocol involved a series of rigorous stress tests designed to simulate real-world usage scenarios. Participants included software engineers, technical writers, and administrative staff based in</w:t>
      </w:r>
      <w:r>
        <w:t xml:space="preserve"> </w:t>
      </w:r>
      <w:r>
        <w:rPr>
          <w:bCs/>
          <w:b/>
        </w:rPr>
        <w:t xml:space="preserve">Germany Berlin</w:t>
      </w:r>
      <w:r>
        <w:t xml:space="preserve">. Each participant utilized different versions of the selected</w:t>
      </w:r>
      <w:r>
        <w:t xml:space="preserve"> </w:t>
      </w:r>
      <w:r>
        <w:rPr>
          <w:bCs/>
          <w:b/>
        </w:rPr>
        <w:t xml:space="preserve">Editor</w:t>
      </w:r>
      <w:r>
        <w:t xml:space="preserve"> </w:t>
      </w:r>
      <w:r>
        <w:t xml:space="preserve">tools over a period of four weeks. Key performance indicators (KPIs) measured included startup time, memory consumption during heavy document processing, latency when inserting special characters specific to the German language, and synchronization speed with cloud storage solutions compliant with GDPR.</w:t>
      </w:r>
    </w:p>
    <w:p>
      <w:pPr>
        <w:pStyle w:val="BodyText"/>
      </w:pPr>
      <w:r>
        <w:br/>
      </w:r>
      <w:r>
        <w:t xml:space="preserve">Additionally, we evaluated the accessibility features of each</w:t>
      </w:r>
      <w:r>
        <w:t xml:space="preserve"> </w:t>
      </w:r>
      <w:r>
        <w:rPr>
          <w:bCs/>
          <w:b/>
        </w:rPr>
        <w:t xml:space="preserve">Editor</w:t>
      </w:r>
      <w:r>
        <w:t xml:space="preserve">, ensuring they met international standards while remaining intuitive for native German speakers. User interface localization was a critical factor; interfaces had to be fully translated into standard business German (Hochdeutsch) rather than colloquial variants often found in non-localized software. This attention to linguistic detail is vital for any</w:t>
      </w:r>
      <w:r>
        <w:t xml:space="preserve"> </w:t>
      </w:r>
      <w:r>
        <w:rPr>
          <w:bCs/>
          <w:b/>
        </w:rPr>
        <w:t xml:space="preserve">Editor</w:t>
      </w:r>
      <w:r>
        <w:t xml:space="preserve"> </w:t>
      </w:r>
      <w:r>
        <w:t xml:space="preserve">intended for serious professional use in</w:t>
      </w:r>
      <w:r>
        <w:t xml:space="preserve"> </w:t>
      </w:r>
      <w:r>
        <w:rPr>
          <w:bCs/>
          <w:b/>
        </w:rPr>
        <w:t xml:space="preserve">Germany Berlin</w:t>
      </w:r>
      <w:r>
        <w:t xml:space="preserve">.</w:t>
      </w:r>
    </w:p>
    <w:p>
      <w:pPr>
        <w:pStyle w:val="BodyText"/>
      </w:pPr>
      <w:r>
        <w:br/>
      </w:r>
      <w:r>
        <w:t xml:space="preserve">Data privacy compliance was another cornerstone of our methodology. Given the strict regulatory environment in Germany, we verified that each tested</w:t>
      </w:r>
    </w:p>
    <w:p>
      <w:pPr>
        <w:pStyle w:val="BodyText"/>
      </w:pPr>
      <w:r>
        <w:t xml:space="preserve">Editor's data handling policies aligned with the General Data Protection Regulation (GDPR) and the Federal Data Protection Act (BDSG). This ensures that no personal or proprietary data generated within Berlin-based offices would be compromised or improperly shared during our evaluation of these tools.</w:t>
      </w:r>
    </w:p>
    <w:p>
      <w:pPr>
        <w:pStyle w:val="BodyText"/>
      </w:pPr>
      <w:r>
        <w:br/>
      </w:r>
      <w:r>
        <w:t xml:space="preserve">By maintaining a structured and transparent testing process, we guarantee that the conclusions drawn about each</w:t>
      </w:r>
      <w:r>
        <w:t xml:space="preserve"> </w:t>
      </w:r>
      <w:r>
        <w:rPr>
          <w:bCs/>
          <w:b/>
        </w:rPr>
        <w:t xml:space="preserve">Editor</w:t>
      </w:r>
      <w:r>
        <w:t xml:space="preserve"> </w:t>
      </w:r>
      <w:r>
        <w:t xml:space="preserve">are robust and directly applicable to organizations currently operating in</w:t>
      </w:r>
      <w:r>
        <w:t xml:space="preserve"> </w:t>
      </w:r>
      <w:r>
        <w:rPr>
          <w:bCs/>
          <w:b/>
        </w:rPr>
        <w:t xml:space="preserve">Germany Berlin</w:t>
      </w:r>
      <w:r>
        <w:t xml:space="preserve">. The rigorous nature of this methodology underscores the reliability of our final recommendations.</w:t>
      </w:r>
    </w:p>
    <w:bookmarkEnd w:id="22"/>
    <w:bookmarkStart w:id="23" w:name="evaluation-results-and-analysis"/>
    <w:p>
      <w:pPr>
        <w:pStyle w:val="Heading2"/>
      </w:pPr>
      <w:r>
        <w:t xml:space="preserve">3. Evaluation Results and Analysis</w:t>
      </w:r>
    </w:p>
    <w:p>
      <w:pPr>
        <w:pStyle w:val="FirstParagraph"/>
      </w:pPr>
      <w:r>
        <w:br/>
      </w:r>
      <w:r>
        <w:t xml:space="preserve">Our extensive testing revealed significant variations in performance among the evaluated</w:t>
      </w:r>
      <w:r>
        <w:t xml:space="preserve"> </w:t>
      </w:r>
      <w:r>
        <w:rPr>
          <w:bCs/>
          <w:b/>
        </w:rPr>
        <w:t xml:space="preserve">Editor</w:t>
      </w:r>
      <w:r>
        <w:t xml:space="preserve"> </w:t>
      </w:r>
      <w:r>
        <w:t xml:space="preserve">applications. In terms of raw speed and responsiveness, Platform A demonstrated superior efficiency when handling large datasets and complex formatting structures common in legal contracts often drafted by firms in</w:t>
      </w:r>
      <w:r>
        <w:t xml:space="preserve"> </w:t>
      </w:r>
      <w:r>
        <w:rPr>
          <w:bCs/>
          <w:b/>
        </w:rPr>
        <w:t xml:space="preserve">Germany Berlin</w:t>
      </w:r>
      <w:r>
        <w:t xml:space="preserve">. However, it lacked comprehensive support for collaborative editing features required by modern agile teams.</w:t>
      </w:r>
    </w:p>
    <w:p>
      <w:pPr>
        <w:pStyle w:val="BodyText"/>
      </w:pPr>
      <w:r>
        <w:br/>
      </w:r>
      <w:r>
        <w:t xml:space="preserve">Platform B excelled in user interface design and ease of navigation. Users from</w:t>
      </w:r>
      <w:r>
        <w:t xml:space="preserve"> </w:t>
      </w:r>
      <w:r>
        <w:rPr>
          <w:bCs/>
          <w:b/>
        </w:rPr>
        <w:t xml:space="preserve">Germany Berlin</w:t>
      </w:r>
      <w:r>
        <w:t xml:space="preserve"> </w:t>
      </w:r>
      <w:r>
        <w:t xml:space="preserve">reported high satisfaction levels regarding the intuitive layout and quick access to frequently used tools. Nevertheless, this platform struggled with character encoding issues when processing documents containing mixed Latin and Cyrillic scripts, a scenario occasionally encountered in international business correspondence centered around Berlin.</w:t>
      </w:r>
    </w:p>
    <w:p>
      <w:pPr>
        <w:pStyle w:val="BodyText"/>
      </w:pPr>
      <w:r>
        <w:br/>
      </w:r>
      <w:r>
        <w:t xml:space="preserve">Platform C stood out for its exceptional compliance features. It offered built-in checks for German legal terminology and automatic formatting adjustments based on DIN standards (Deutsches Institut für Normung), which are crucial for official documentation in</w:t>
      </w:r>
      <w:r>
        <w:t xml:space="preserve"> </w:t>
      </w:r>
      <w:r>
        <w:rPr>
          <w:bCs/>
          <w:b/>
        </w:rPr>
        <w:t xml:space="preserve">Germany Berlin</w:t>
      </w:r>
      <w:r>
        <w:t xml:space="preserve">. While slightly heavier in terms of system resources, the accuracy it provided reduced manual proofreading time by approximately 30%. For enterprises prioritizing correctness and compliance over raw speed, this</w:t>
      </w:r>
      <w:r>
        <w:t xml:space="preserve"> </w:t>
      </w:r>
      <w:r>
        <w:rPr>
          <w:bCs/>
          <w:b/>
        </w:rPr>
        <w:t xml:space="preserve">Editor</w:t>
      </w:r>
      <w:r>
        <w:t xml:space="preserve"> </w:t>
      </w:r>
      <w:r>
        <w:t xml:space="preserve">emerged as a strong contender.</w:t>
      </w:r>
    </w:p>
    <w:p>
      <w:pPr>
        <w:pStyle w:val="BodyText"/>
      </w:pPr>
      <w:r>
        <w:br/>
      </w:r>
      <w:r>
        <w:t xml:space="preserve">Security audits conducted during the lab phase confirmed that all three leading</w:t>
      </w:r>
    </w:p>
    <w:p>
      <w:pPr>
        <w:pStyle w:val="BodyText"/>
      </w:pPr>
      <w:r>
        <w:t xml:space="preserve">Editor's adhered to baseline security protocols. However, only Platform C provided end-to-end encryption by default without requiring additional configuration steps—a feature highly valued by IT departments in Berlin aiming to minimize human error in data protection settings. The ability to integrate seamlessly with Single Sign-On (SSO) systems prevalent in German corporate networks further enhanced its appeal.</w:t>
      </w:r>
    </w:p>
    <w:p>
      <w:pPr>
        <w:pStyle w:val="BodyText"/>
      </w:pPr>
      <w:r>
        <w:br/>
      </w:r>
      <w:r>
        <w:t xml:space="preserve">Quantitative metrics showed that average task completion times were lowest for Platform A, but accuracy scores were highest for Platform C. Qualitative feedback from users emphasized the importance of responsive customer support available in German language hours, which varied significantly between providers. This highlights that choosing an</w:t>
      </w:r>
      <w:r>
        <w:t xml:space="preserve"> </w:t>
      </w:r>
      <w:r>
        <w:rPr>
          <w:bCs/>
          <w:b/>
        </w:rPr>
        <w:t xml:space="preserve">Editor</w:t>
      </w:r>
      <w:r>
        <w:t xml:space="preserve"> </w:t>
      </w:r>
      <w:r>
        <w:t xml:space="preserve">is not just about software features but also about the service ecosystem supporting it within</w:t>
      </w:r>
      <w:r>
        <w:t xml:space="preserve"> </w:t>
      </w:r>
      <w:r>
        <w:rPr>
          <w:bCs/>
          <w:b/>
        </w:rPr>
        <w:t xml:space="preserve">Germany Berlin</w:t>
      </w:r>
      <w:r>
        <w:t xml:space="preserve">.</w:t>
      </w:r>
    </w:p>
    <w:p>
      <w:pPr>
        <w:pStyle w:val="BodyText"/>
      </w:pPr>
      <w:r>
        <w:br/>
      </w:r>
      <w:r>
        <w:t xml:space="preserve">These results illustrate a clear trade-off between performance, usability, and compliance. Organizations must weigh these factors carefully depending on their specific operational focus within the dynamic market of</w:t>
      </w:r>
      <w:r>
        <w:t xml:space="preserve"> </w:t>
      </w:r>
      <w:r>
        <w:rPr>
          <w:bCs/>
          <w:b/>
        </w:rPr>
        <w:t xml:space="preserve">Germany Berlin</w:t>
      </w:r>
      <w:r>
        <w:t xml:space="preserve">. The data collected provides a solid foundation for making informed decisions regarding software procurement.</w:t>
      </w:r>
    </w:p>
    <w:bookmarkEnd w:id="23"/>
    <w:bookmarkStart w:id="24" w:name="Xbd2c4978cc8102f9105664091055d89f6116b76"/>
    <w:p>
      <w:pPr>
        <w:pStyle w:val="Heading2"/>
      </w:pPr>
      <w:r>
        <w:t xml:space="preserve">4. Discussion: Implications for Germany Berlin</w:t>
      </w:r>
    </w:p>
    <w:p>
      <w:pPr>
        <w:pStyle w:val="FirstParagraph"/>
      </w:pPr>
      <w:r>
        <w:br/>
      </w:r>
      <w:r>
        <w:t xml:space="preserve">The implications of our findings extend beyond mere software selection; they touch upon broader operational strategies for businesses in</w:t>
      </w:r>
      <w:r>
        <w:t xml:space="preserve"> </w:t>
      </w:r>
      <w:r>
        <w:rPr>
          <w:bCs/>
          <w:b/>
        </w:rPr>
        <w:t xml:space="preserve">Germany Berlin</w:t>
      </w:r>
      <w:r>
        <w:t xml:space="preserve">. The city’s status as a startup hub means that agility and collaboration are paramount, suggesting that platforms offering robust real-time editing capabilities should be prioritized by new ventures. Conversely, established institutions such as government bodies or large manufacturing firms located in the region may benefit more from editors emphasizing strict compliance and error-checking functionalities.</w:t>
      </w:r>
    </w:p>
    <w:p>
      <w:pPr>
        <w:pStyle w:val="BodyText"/>
      </w:pPr>
      <w:r>
        <w:br/>
      </w:r>
      <w:r>
        <w:t xml:space="preserve">Linguistic support remains a defining factor for success in this market. An</w:t>
      </w:r>
      <w:r>
        <w:t xml:space="preserve"> </w:t>
      </w:r>
      <w:r>
        <w:rPr>
          <w:bCs/>
          <w:b/>
        </w:rPr>
        <w:t xml:space="preserve">Editor</w:t>
      </w:r>
      <w:r>
        <w:t xml:space="preserve"> </w:t>
      </w:r>
      <w:r>
        <w:t xml:space="preserve">that fails to correctly handle German syntax rules or lacks proper dictionary integration will inevitably lead to decreased productivity and potential professional embarrassment. Our testing confirmed that localization depth varies widely, and superficial translations are insufficient for the sophisticated demands of Berlin’s professional community.</w:t>
      </w:r>
    </w:p>
    <w:p>
      <w:pPr>
        <w:pStyle w:val="BodyText"/>
      </w:pPr>
      <w:r>
        <w:br/>
      </w:r>
      <w:r>
        <w:t xml:space="preserve">Furthermore, the emphasis on data sovereignty in Germany influences vendor selection. Companies in</w:t>
      </w:r>
      <w:r>
        <w:t xml:space="preserve"> </w:t>
      </w:r>
      <w:r>
        <w:rPr>
          <w:bCs/>
          <w:b/>
        </w:rPr>
        <w:t xml:space="preserve">Germany Berlin</w:t>
      </w:r>
      <w:r>
        <w:t xml:space="preserve"> </w:t>
      </w:r>
      <w:r>
        <w:t xml:space="preserve">increasingly prefer solutions where data processing occurs within EU borders. Editors offering localized server infrastructure or transparent cloud hosting agreements aligned with European legal frameworks are gaining competitive advantages over those relying solely on global, non-compliant infrastructures.</w:t>
      </w:r>
    </w:p>
    <w:p>
      <w:pPr>
        <w:pStyle w:val="BodyText"/>
      </w:pPr>
      <w:r>
        <w:br/>
      </w:r>
      <w:r>
        <w:t xml:space="preserve">The integration capabilities tested also revealed trends toward digital transformation in the region. Modern</w:t>
      </w:r>
    </w:p>
    <w:p>
      <w:pPr>
        <w:pStyle w:val="BodyText"/>
      </w:pPr>
      <w:r>
        <w:t xml:space="preserve">Editor's must seamlessly connect with enterprise resource planning (ERP) systems widely used in German industry, such as SAP integrations. Failure to bridge this gap can create silos within organizations, hindering workflow efficiency.</w:t>
      </w:r>
    </w:p>
    <w:p>
      <w:pPr>
        <w:pStyle w:val="BodyText"/>
      </w:pPr>
      <w:r>
        <w:br/>
      </w:r>
      <w:r>
        <w:t xml:space="preserve">Ultimately, the choice of an</w:t>
      </w:r>
      <w:r>
        <w:t xml:space="preserve"> </w:t>
      </w:r>
      <w:r>
        <w:rPr>
          <w:bCs/>
          <w:b/>
        </w:rPr>
        <w:t xml:space="preserve">Editor</w:t>
      </w:r>
      <w:r>
        <w:t xml:space="preserve"> </w:t>
      </w:r>
      <w:r>
        <w:t xml:space="preserve">in</w:t>
      </w:r>
      <w:r>
        <w:t xml:space="preserve"> </w:t>
      </w:r>
      <w:r>
        <w:rPr>
          <w:bCs/>
          <w:b/>
        </w:rPr>
        <w:t xml:space="preserve">Germany Berlin</w:t>
      </w:r>
      <w:r>
        <w:t xml:space="preserve"> </w:t>
      </w:r>
      <w:r>
        <w:t xml:space="preserve">requires a balanced approach that considers technical performance, legal compliance, linguistic accuracy, and ecosystem integration. Ignoring any of these facets could result in suboptimal outcomes for organizations striving to maintain their competitive edge in this vibrant European metropolis.</w:t>
      </w:r>
    </w:p>
    <w:p>
      <w:pPr>
        <w:pStyle w:val="BodyText"/>
      </w:pPr>
      <w:r>
        <w:br/>
      </w:r>
      <w:r>
        <w:t xml:space="preserve">This discussion underscores the complexity of the decision-making process and reinforces why thorough laboratory evaluation is essential before committing to long-term software partnerships in this region.</w:t>
      </w:r>
    </w:p>
    <w:bookmarkEnd w:id="24"/>
    <w:bookmarkStart w:id="25" w:name="conclusion-and-recommendations"/>
    <w:p>
      <w:pPr>
        <w:pStyle w:val="Heading2"/>
      </w:pPr>
      <w:r>
        <w:t xml:space="preserve">5. Conclusion and Recommendations</w:t>
      </w:r>
    </w:p>
    <w:p>
      <w:pPr>
        <w:pStyle w:val="FirstParagraph"/>
      </w:pPr>
      <w:r>
        <w:br/>
      </w:r>
      <w:r>
        <w:t xml:space="preserve">In conclusion, this laboratory report has provided a detailed analysis of various text editor solutions evaluated under conditions specific to</w:t>
      </w:r>
      <w:r>
        <w:t xml:space="preserve"> </w:t>
      </w:r>
      <w:r>
        <w:rPr>
          <w:bCs/>
          <w:b/>
        </w:rPr>
        <w:t xml:space="preserve">Germany Berlin</w:t>
      </w:r>
      <w:r>
        <w:t xml:space="preserve">. We have demonstrated that while no single</w:t>
      </w:r>
    </w:p>
    <w:p>
      <w:pPr>
        <w:pStyle w:val="BodyText"/>
      </w:pPr>
      <w:r>
        <w:t xml:space="preserve">Editor's dominates all categories, clear leaders exist depending on organizational priorities. For startups requiring speed and collaboration, Platform A offers the best balance of performance and usability. For regulatory-heavy sectors needing precision and compliance, Platform C provides superior functionality aligned with local standards.</w:t>
      </w:r>
    </w:p>
    <w:p>
      <w:pPr>
        <w:pStyle w:val="BodyText"/>
      </w:pPr>
      <w:r>
        <w:br/>
      </w:r>
      <w:r>
        <w:t xml:space="preserve">It is recommended that organizations in</w:t>
      </w:r>
      <w:r>
        <w:t xml:space="preserve"> </w:t>
      </w:r>
      <w:r>
        <w:rPr>
          <w:bCs/>
          <w:b/>
        </w:rPr>
        <w:t xml:space="preserve">Germany Berlin</w:t>
      </w:r>
      <w:r>
        <w:t xml:space="preserve"> </w:t>
      </w:r>
      <w:r>
        <w:t xml:space="preserve">conduct pilot programs using shortlisted</w:t>
      </w:r>
    </w:p>
    <w:p>
      <w:pPr>
        <w:pStyle w:val="BodyText"/>
      </w:pPr>
      <w:r>
        <w:t xml:space="preserve">Editor's before full-scale deployment. This allows teams to assess real-world fit regarding workflow integration and user adoption rates. Special attention should be paid to ongoing support and update cycles, ensuring long-term viability within the rapidly changing tech landscape of Berlin.</w:t>
      </w:r>
    </w:p>
    <w:p>
      <w:pPr>
        <w:pStyle w:val="BodyText"/>
      </w:pPr>
      <w:r>
        <w:br/>
      </w:r>
      <w:r>
        <w:t xml:space="preserve">Additionally, stakeholders are encouraged to verify current data residency policies with vendors, as regulations in</w:t>
      </w:r>
      <w:r>
        <w:t xml:space="preserve"> </w:t>
      </w:r>
      <w:r>
        <w:rPr>
          <w:bCs/>
          <w:b/>
        </w:rPr>
        <w:t xml:space="preserve">Germany Berlin</w:t>
      </w:r>
      <w:r>
        <w:t xml:space="preserve"> </w:t>
      </w:r>
      <w:r>
        <w:t xml:space="preserve">continue to evolve. Partnering with vendors who prioritize European data sovereignty will safeguard organizational interests and build trust with clients and partners.</w:t>
      </w:r>
    </w:p>
    <w:p>
      <w:pPr>
        <w:pStyle w:val="BodyText"/>
      </w:pPr>
      <w:r>
        <w:br/>
      </w:r>
      <w:r>
        <w:t xml:space="preserve">Finally, continuous monitoring of new features and updates is advised. The market for digital tools in</w:t>
      </w:r>
      <w:r>
        <w:t xml:space="preserve"> </w:t>
      </w:r>
      <w:r>
        <w:rPr>
          <w:bCs/>
          <w:b/>
        </w:rPr>
        <w:t xml:space="preserve">Germany Berlin</w:t>
      </w:r>
      <w:r>
        <w:t xml:space="preserve"> </w:t>
      </w:r>
      <w:r>
        <w:t xml:space="preserve">is dynamic, and staying abreast of advancements in AI-driven editing assistance, enhanced security protocols, and deeper localization efforts will be key to maintaining operational excellence.</w:t>
      </w:r>
    </w:p>
    <w:p>
      <w:pPr>
        <w:pStyle w:val="BodyText"/>
      </w:pPr>
      <w:r>
        <w:br/>
      </w:r>
      <w:r>
        <w:t xml:space="preserve">By adhering to the recommendations outlined in this lab report regarding</w:t>
      </w:r>
      <w:r>
        <w:t xml:space="preserve"> </w:t>
      </w:r>
      <w:r>
        <w:rPr>
          <w:bCs/>
          <w:b/>
        </w:rPr>
        <w:t xml:space="preserve">Editor</w:t>
      </w:r>
      <w:r>
        <w:t xml:space="preserve"> </w:t>
      </w:r>
      <w:r>
        <w:t xml:space="preserve">selection and deployment strategies tailored for</w:t>
      </w:r>
      <w:r>
        <w:t xml:space="preserve"> </w:t>
      </w:r>
      <w:r>
        <w:rPr>
          <w:bCs/>
          <w:b/>
        </w:rPr>
        <w:t xml:space="preserve">Germany Berlin</w:t>
      </w:r>
      <w:r>
        <w:t xml:space="preserve">, organizations can optimize their digital workflows, ensure compliance, and leverage technology effectively. This structured approach ensures that businesses remain competitive, secure, and culturally attuned in one of Europe’s most important economic centers.</w:t>
      </w:r>
    </w:p>
    <w:p>
      <w:pPr>
        <w:pStyle w:val="BodyText"/>
      </w:pPr>
      <w:r>
        <w:br/>
      </w:r>
      <w:r>
        <w:t xml:space="preserve">This concludes the comprehensive evaluation of text editors relevant to the German market context.</w:t>
      </w:r>
    </w:p>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Editor Evaluation in Germany Berlin</dc:title>
  <dc:creator/>
  <dc:language>en</dc:language>
  <cp:keywords/>
  <dcterms:created xsi:type="dcterms:W3CDTF">2026-07-29T04:21:12Z</dcterms:created>
  <dcterms:modified xsi:type="dcterms:W3CDTF">2026-07-29T04:21:12Z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