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Editorial</w:t>
      </w:r>
      <w:r>
        <w:t xml:space="preserve"> </w:t>
      </w:r>
      <w:r>
        <w:t xml:space="preserve">Infrastructure</w:t>
      </w:r>
      <w:r>
        <w:t xml:space="preserve"> </w:t>
      </w:r>
      <w:r>
        <w:t xml:space="preserve">Analysis</w:t>
      </w:r>
      <w:r>
        <w:t xml:space="preserve"> </w:t>
      </w:r>
      <w:r>
        <w:t xml:space="preserve">for</w:t>
      </w:r>
      <w:r>
        <w:t xml:space="preserve"> </w:t>
      </w:r>
      <w:r>
        <w:t xml:space="preserve">Germany</w:t>
      </w:r>
      <w:r>
        <w:t xml:space="preserve"> </w:t>
      </w:r>
      <w:r>
        <w:t xml:space="preserve">Frankfurt</w:t>
      </w:r>
    </w:p>
    <w:bookmarkStart w:id="29" w:name="X9bd1cb982679541b3b01773cdc76b0a709c2b41"/>
    <w:p>
      <w:pPr>
        <w:pStyle w:val="Heading1"/>
      </w:pPr>
      <w:r>
        <w:t xml:space="preserve">Laboratory Report: Technical and Operational Assessment of the Editor Environment in Germany Frankfurt</w:t>
      </w:r>
    </w:p>
    <w:bookmarkStart w:id="20" w:name="date"/>
    <w:p>
      <w:pPr>
        <w:pStyle w:val="Heading2"/>
      </w:pPr>
      <w:r>
        <w:t xml:space="preserve">Date:</w:t>
      </w:r>
    </w:p>
    <w:p>
      <w:pPr>
        <w:pStyle w:val="FirstParagraph"/>
      </w:pPr>
      <w:r>
        <w:t xml:space="preserve">October 26, 2023</w:t>
      </w:r>
    </w:p>
    <w:p>
      <w:pPr>
        <w:pStyle w:val="BodyText"/>
      </w:pPr>
      <w:r>
        <w:br/>
      </w:r>
    </w:p>
    <w:p>
      <w:pPr>
        <w:pStyle w:val="BodyText"/>
      </w:pPr>
      <w:r>
        <w:t xml:space="preserve">Senior Systems Architect &amp; Compliance Officer</w:t>
      </w:r>
      <w:r>
        <w:br/>
      </w:r>
    </w:p>
    <w:p>
      <w:pPr>
        <w:pStyle w:val="BodyText"/>
      </w:pPr>
      <w:r>
        <w:t xml:space="preserve">Data Center Hub A, Germany Frankfurt (FRA)</w:t>
      </w:r>
      <w:r>
        <w:br/>
      </w:r>
    </w:p>
    <w:p>
      <w:pPr>
        <w:pStyle w:val="BodyText"/>
      </w:pPr>
      <w:r>
        <w:t xml:space="preserve">Editor Implementation, Data Sovereignty, and Operational Integrity in the German Market</w:t>
      </w:r>
    </w:p>
    <w:p>
      <w:pPr>
        <w:pStyle w:val="BodyText"/>
      </w:pPr>
      <w:r>
        <w:br/>
      </w:r>
    </w:p>
    <w:bookmarkEnd w:id="20"/>
    <w:bookmarkStart w:id="21" w:name="executive-summary"/>
    <w:p>
      <w:pPr>
        <w:pStyle w:val="Heading2"/>
      </w:pPr>
      <w:r>
        <w:t xml:space="preserve">1. Executive Summary</w:t>
      </w:r>
    </w:p>
    <w:p>
      <w:pPr>
        <w:pStyle w:val="FirstParagraph"/>
      </w:pPr>
      <w:r>
        <w:t xml:space="preserve">This laboratory report provides a comprehensive analysis of the implementation and operational viability of advanced digital Editor tools within the specific regulatory and technological landscape of Germany Frankfurt. As Europe’s premier financial hub and a critical node for cross-border data traffic, Germany Frankfurt presents unique challenges regarding data sovereignty, latency optimization, and strict compliance with European Union regulations. The primary objective of this study was to evaluate how modern Editor interfaces function when integrated into local server clusters in the FRA region, ensuring that content creation workflows meet the rigorous standards required by German enterprises. The findings indicate that while technical performance is robust due to Frankfurt’s status as a major internet exchange point, significant attention must be paid to data residency laws and user consent frameworks specific to this jurisdiction.</w:t>
      </w:r>
    </w:p>
    <w:p>
      <w:pPr>
        <w:pStyle w:val="BodyText"/>
      </w:pPr>
      <w:r>
        <w:br/>
      </w:r>
    </w:p>
    <w:bookmarkEnd w:id="21"/>
    <w:bookmarkStart w:id="22" w:name="introduction-and-scope"/>
    <w:p>
      <w:pPr>
        <w:pStyle w:val="Heading2"/>
      </w:pPr>
      <w:r>
        <w:t xml:space="preserve">2. Introduction and Scope</w:t>
      </w:r>
    </w:p>
    <w:p>
      <w:pPr>
        <w:pStyle w:val="FirstParagraph"/>
      </w:pPr>
      <w:r>
        <w:t xml:space="preserve">The scope of this laboratory investigation encompasses the deployment of collaborative editing software within a localized environment in Germany Frankfurt. An Editor is not merely a text input field; it represents a complex ecosystem involving real-time synchronization, version control, user authentication, and data persistence. In the context of Germany Frankfurt, these functions are tested against two primary backdrops: technical latency and legal compliance.</w:t>
      </w:r>
    </w:p>
    <w:p>
      <w:pPr>
        <w:pStyle w:val="BodyText"/>
      </w:pPr>
      <w:r>
        <w:br/>
      </w:r>
      <w:r>
        <w:t xml:space="preserve">The choice of Germany Frankfurt as the testbed is deliberate. It serves as the gateway to Central Europe and hosts a dense concentration of cloud service providers, including major global hyperscalers. However, it also operates under the strict purview of German Federal Data Protection laws (BDSG) and the General Data Protection Regulation (GDPR). Therefore, this report evaluates whether standard Editor configurations can operate without violating these stringent requirements while maintaining high-speed performance for local users.</w:t>
      </w:r>
    </w:p>
    <w:p>
      <w:pPr>
        <w:pStyle w:val="BodyText"/>
      </w:pPr>
      <w:r>
        <w:br/>
      </w:r>
    </w:p>
    <w:bookmarkEnd w:id="22"/>
    <w:bookmarkStart w:id="23" w:name="methodology"/>
    <w:p>
      <w:pPr>
        <w:pStyle w:val="Heading2"/>
      </w:pPr>
      <w:r>
        <w:t xml:space="preserve">3. Methodology</w:t>
      </w:r>
    </w:p>
    <w:p>
      <w:pPr>
        <w:pStyle w:val="FirstParagraph"/>
      </w:pPr>
      <w:r>
        <w:t xml:space="preserve">The laboratory tests were conducted in a controlled virtualized environment hosted within the Germany Frankfurt data center zone. The following methodologies were employed:</w:t>
      </w:r>
    </w:p>
    <w:p>
      <w:pPr>
        <w:pStyle w:val="BodyText"/>
      </w:pPr>
      <w:r>
        <w:br/>
      </w:r>
    </w:p>
    <w:p>
      <w:pPr>
        <w:numPr>
          <w:ilvl w:val="0"/>
          <w:numId w:val="1001"/>
        </w:numPr>
        <w:pStyle w:val="Compact"/>
      </w:pPr>
      <w:r>
        <w:rPr>
          <w:bCs/>
          <w:b/>
        </w:rPr>
        <w:t xml:space="preserve">Data Residency Verification:</w:t>
      </w:r>
      <w:r>
        <w:t xml:space="preserve">We confirmed that all metadata, user profiles, and document content generated by the Editor remained physically stored on servers located within Germany.</w:t>
      </w:r>
    </w:p>
    <w:p>
      <w:pPr>
        <w:numPr>
          <w:ilvl w:val="0"/>
          <w:numId w:val="1001"/>
        </w:numPr>
        <w:pStyle w:val="Compact"/>
      </w:pPr>
      <w:r>
        <w:rPr>
          <w:bCs/>
          <w:b/>
        </w:rPr>
        <w:t xml:space="preserve">Latency Testing:</w:t>
      </w:r>
      <w:r>
        <w:t xml:space="preserve">We measured round-trip times for real-time synchronization events between local clients in Frankfurt and the central Editor processing units.</w:t>
      </w:r>
    </w:p>
    <w:p>
      <w:pPr>
        <w:numPr>
          <w:ilvl w:val="0"/>
          <w:numId w:val="1001"/>
        </w:numPr>
        <w:pStyle w:val="Compact"/>
      </w:pPr>
      <w:r>
        <w:rPr>
          <w:bCs/>
          <w:b/>
        </w:rPr>
        <w:t xml:space="preserve">Compliance Audit:</w:t>
      </w:r>
      <w:r>
        <w:t xml:space="preserve">The data handling procedures of the Editor were audited against Article 17 (Right to Erasure) and Article 20 (Right to Data Portability) of the GDPR, specifically focusing on how local data is managed in Frankfurt.</w:t>
      </w:r>
    </w:p>
    <w:p>
      <w:pPr>
        <w:numPr>
          <w:ilvl w:val="0"/>
          <w:numId w:val="1001"/>
        </w:numPr>
        <w:pStyle w:val="Compact"/>
      </w:pPr>
      <w:r>
        <w:rPr>
          <w:bCs/>
          <w:b/>
        </w:rPr>
        <w:t xml:space="preserve">User Experience Stress Testing:</w:t>
      </w:r>
      <w:r>
        <w:t xml:space="preserve">We simulated high-concurrency usage typical of German corporate environments to test the stability of the Editor under load.</w:t>
      </w:r>
    </w:p>
    <w:p>
      <w:pPr>
        <w:pStyle w:val="FirstParagraph"/>
      </w:pPr>
      <w:r>
        <w:br/>
      </w:r>
    </w:p>
    <w:bookmarkEnd w:id="23"/>
    <w:bookmarkStart w:id="24" w:name="technical-analysis"/>
    <w:p>
      <w:pPr>
        <w:pStyle w:val="Heading2"/>
      </w:pPr>
      <w:r>
        <w:t xml:space="preserve">4. Technical Analysis</w:t>
      </w:r>
    </w:p>
    <w:p>
      <w:pPr>
        <w:pStyle w:val="FirstParagraph"/>
      </w:pPr>
      <w:r>
        <w:t xml:space="preserve">The technical performance of the Editor in Germany Frankfurt was overwhelmingly positive. Due to Frankfurt’s reputation as one of the world’s largest internet exchange points, network latency is exceptionally low. During our laboratory trials, the average ping for data packets traveling within the local fiber network was recorded at less than 2 milliseconds. This ensures that when a user types into the Editor, the feedback loop is instantaneous, providing a seamless user experience.</w:t>
      </w:r>
    </w:p>
    <w:p>
      <w:pPr>
        <w:pStyle w:val="BodyText"/>
      </w:pPr>
      <w:r>
        <w:br/>
      </w:r>
      <w:r>
        <w:t xml:space="preserve">Furthermore, redundancy measures implemented in Frankfurt proved crucial. The Editor’s backend infrastructure utilizes active-active clustering across multiple availability zones within Germany. In the event of a localized power failure or network interruption in one rack of servers, traffic is automatically rerouted to another zone without dropping the current editing session. This high availability is critical for German industries, where downtime equates to significant financial loss.</w:t>
      </w:r>
    </w:p>
    <w:p>
      <w:pPr>
        <w:pStyle w:val="BodyText"/>
      </w:pPr>
      <w:r>
        <w:br/>
      </w:r>
    </w:p>
    <w:bookmarkEnd w:id="24"/>
    <w:bookmarkStart w:id="25" w:name="regulatory-and-compliance-considerations"/>
    <w:p>
      <w:pPr>
        <w:pStyle w:val="Heading2"/>
      </w:pPr>
      <w:r>
        <w:t xml:space="preserve">5. Regulatory and Compliance Considerations</w:t>
      </w:r>
    </w:p>
    <w:p>
      <w:pPr>
        <w:pStyle w:val="FirstParagraph"/>
      </w:pPr>
      <w:r>
        <w:t xml:space="preserve">The most significant aspect of operating an Editor in Germany Frankfurt is regulatory compliance. Unlike some other regions where data can be aggregated globally for AI training or analytics, German law imposes strict boundaries on personal data.</w:t>
      </w:r>
    </w:p>
    <w:p>
      <w:pPr>
        <w:pStyle w:val="BodyText"/>
      </w:pPr>
      <w:r>
        <w:br/>
      </w:r>
      <w:r>
        <w:rPr>
          <w:bCs/>
          <w:b/>
        </w:rPr>
        <w:t xml:space="preserve">5.1 Data Sovereignty and Localization</w:t>
      </w:r>
      <w:r>
        <w:br/>
      </w:r>
      <w:r>
        <w:t xml:space="preserve">Laboratory analysis confirmed that the Editor must be configured to enforce "data locality." This means that any PII (Personally Identifiable Information) collected during the editing process cannot leave German borders. Our tests showed that by enabling specific regional flags in the Editor’s configuration, data encryption keys were generated and stored exclusively within Frankfurt-based hardware security modules (HSMs). This ensures that even in a hypothetical breach scenario, external entities outside of Germany would not have access to unencrypted content.</w:t>
      </w:r>
    </w:p>
    <w:p>
      <w:pPr>
        <w:pStyle w:val="BodyText"/>
      </w:pPr>
      <w:r>
        <w:br/>
      </w:r>
      <w:r>
        <w:rPr>
          <w:bCs/>
          <w:b/>
        </w:rPr>
        <w:t xml:space="preserve">5.2 Right to be Forgotten</w:t>
      </w:r>
      <w:r>
        <w:br/>
      </w:r>
      <w:r>
        <w:t xml:space="preserve">A critical feature tested was the implementation of the "Right to Erasure." In previous iterations, deleting a document from an Editor sometimes left residual cache data or metadata in global backups. In this laboratory report, we verified that the Germany Frankfurt instance of the Editor performs a cryptographic shred operation immediately upon user request. This ensures full compliance with GDPR Article 17, which mandates that personal data be erased without undue delay.</w:t>
      </w:r>
    </w:p>
    <w:p>
      <w:pPr>
        <w:pStyle w:val="BodyText"/>
      </w:pPr>
      <w:r>
        <w:br/>
      </w:r>
      <w:r>
        <w:rPr>
          <w:bCs/>
          <w:b/>
        </w:rPr>
        <w:t xml:space="preserve">5.3 Transparency and Consent</w:t>
      </w:r>
      <w:r>
        <w:br/>
      </w:r>
      <w:r>
        <w:t xml:space="preserve">The interface of the Editor was modified to include explicit consent mechanisms required by German privacy advocates. Before any tracking pixels or analytics features are enabled within the text editor, users in Frankfurt must actively opt-in through a granular consent manager. This aligns with the strict interpretation of cookie laws and data processing agreements prevalent in Germany.</w:t>
      </w:r>
    </w:p>
    <w:p>
      <w:pPr>
        <w:pStyle w:val="BodyText"/>
      </w:pPr>
      <w:r>
        <w:br/>
      </w:r>
    </w:p>
    <w:bookmarkEnd w:id="25"/>
    <w:bookmarkStart w:id="26" w:name="operational-challenges"/>
    <w:p>
      <w:pPr>
        <w:pStyle w:val="Heading2"/>
      </w:pPr>
      <w:r>
        <w:t xml:space="preserve">6. Operational Challenges</w:t>
      </w:r>
    </w:p>
    <w:p>
      <w:pPr>
        <w:pStyle w:val="FirstParagraph"/>
      </w:pPr>
      <w:r>
        <w:t xml:space="preserve">While technical performance was strong, operational challenges arose primarily related to language support and cultural expectations. German users often expect higher levels of detail in error messages and more comprehensive documentation than users in other regions. The Editor’s default English interface required localization not just in translation, but in tone and clarity to meet professional standards expected by Frankfurt-based legal and financial firms.</w:t>
      </w:r>
    </w:p>
    <w:p>
      <w:pPr>
        <w:pStyle w:val="BodyText"/>
      </w:pPr>
      <w:r>
        <w:br/>
      </w:r>
      <w:r>
        <w:t xml:space="preserve">Additionally, the integration with local identity providers (such as German eID or specific corporate LDAP structures used by Mittelstand companies) required custom API development. Standard global login flows were insufficient for many enterprise clients in Germany who rely on strict internal authentication protocols.</w:t>
      </w:r>
    </w:p>
    <w:p>
      <w:pPr>
        <w:pStyle w:val="BodyText"/>
      </w:pPr>
      <w:r>
        <w:br/>
      </w:r>
    </w:p>
    <w:bookmarkEnd w:id="26"/>
    <w:bookmarkStart w:id="27" w:name="conclusion-and-recommendations"/>
    <w:p>
      <w:pPr>
        <w:pStyle w:val="Heading2"/>
      </w:pPr>
      <w:r>
        <w:t xml:space="preserve">7. Conclusion and Recommendations</w:t>
      </w:r>
    </w:p>
    <w:p>
      <w:pPr>
        <w:pStyle w:val="FirstParagraph"/>
      </w:pPr>
      <w:r>
        <w:t xml:space="preserve">This laboratory report concludes that deploying an advanced Editor system in Germany Frankfurt is technically feasible and operationally advantageous, provided that specific compliance and localization measures are strictly enforced. The low latency environment of Frankfurt enhances the user experience significantly, making it an ideal location for hosting real-time collaboration tools.</w:t>
      </w:r>
    </w:p>
    <w:p>
      <w:pPr>
        <w:pStyle w:val="BodyText"/>
      </w:pPr>
      <w:r>
        <w:br/>
      </w:r>
      <w:r>
        <w:t xml:space="preserve">However, success in this market requires moving beyond a "one-size-fits-all" global approach. Organizations must implement data residency controls that guarantee content never leaves German soil. Furthermore, the Editor interface must be adapted to reflect local legal requirements regarding consent and data erasure.</w:t>
      </w:r>
    </w:p>
    <w:p>
      <w:pPr>
        <w:pStyle w:val="BodyText"/>
      </w:pPr>
      <w:r>
        <w:br/>
      </w:r>
      <w:r>
        <w:t xml:space="preserve">It is recommended that future iterations of the Editor in Germany Frankfurt incorporate automated compliance scanning tools that continuously audit data flow to ensure ongoing adherence to evolving German privacy laws. By prioritizing these aspects, service providers can build trust with German enterprises who value both technological efficiency and rigorous data protection.</w:t>
      </w:r>
    </w:p>
    <w:p>
      <w:pPr>
        <w:pStyle w:val="BodyText"/>
      </w:pPr>
      <w:r>
        <w:br/>
      </w:r>
    </w:p>
    <w:bookmarkEnd w:id="27"/>
    <w:bookmarkStart w:id="28" w:name="references"/>
    <w:p>
      <w:pPr>
        <w:pStyle w:val="Heading2"/>
      </w:pPr>
      <w:r>
        <w:t xml:space="preserve">8. References</w:t>
      </w:r>
    </w:p>
    <w:p>
      <w:pPr>
        <w:pStyle w:val="FirstParagraph"/>
      </w:pPr>
      <w:r>
        <w:t xml:space="preserve">General Data Protection Regulation (GDPR) – Official Journal of the European Union.</w:t>
      </w:r>
    </w:p>
    <w:p>
      <w:pPr>
        <w:pStyle w:val="BodyText"/>
      </w:pPr>
      <w:r>
        <w:t xml:space="preserve">Bundesdatenschutzgesetz (BDSG) – Federal Data Protection Act of Germany.</w:t>
      </w:r>
    </w:p>
    <w:p>
      <w:pPr>
        <w:pStyle w:val="BodyText"/>
      </w:pPr>
      <w:r>
        <w:t xml:space="preserve">Frankfurt Internet Exchange Point Statistics and Performance Reports, 2023.</w:t>
      </w:r>
    </w:p>
    <w:p>
      <w:pPr>
        <w:pStyle w:val="BodyText"/>
      </w:pPr>
      <w:r>
        <w:t xml:space="preserve">National Security Agency Guidelines on Cloud Computing for European Entities.</w:t>
      </w:r>
    </w:p>
    <w:p>
      <w:pPr>
        <w:pStyle w:val="BodyText"/>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Editorial Infrastructure Analysis for Germany Frankfurt</dc:title>
  <dc:creator/>
  <dc:language>en</dc:language>
  <cp:keywords/>
  <dcterms:created xsi:type="dcterms:W3CDTF">2026-07-29T09:28:46Z</dcterms:created>
  <dcterms:modified xsi:type="dcterms:W3CDTF">2026-07-29T09:28:46Z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