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Germany</w:t>
      </w:r>
      <w:r>
        <w:t xml:space="preserve"> </w:t>
      </w:r>
      <w:r>
        <w:t xml:space="preserve">Munich</w:t>
      </w:r>
    </w:p>
    <w:bookmarkStart w:id="34" w:name="laboratory-report"/>
    <w:p>
      <w:pPr>
        <w:pStyle w:val="Heading1"/>
      </w:pPr>
      <w:r>
        <w:t xml:space="preserve">Laboratory Report</w:t>
      </w:r>
    </w:p>
    <w:p>
      <w:pPr>
        <w:pStyle w:val="FirstParagraph"/>
      </w:pPr>
      <w:r>
        <w:t xml:space="preserve">Subject: Comparative Analysis and Integration of Modern Text Editors in a Corporate Environment</w:t>
      </w:r>
      <w:r>
        <w:br/>
      </w:r>
      <w:r>
        <w:br/>
      </w:r>
      <w:r>
        <w:t xml:space="preserve">Location: Germany, Munich</w:t>
      </w:r>
      <w:r>
        <w:br/>
      </w:r>
      <w:r>
        <w:t xml:space="preserve">Date: October 24, 2023</w:t>
      </w:r>
      <w:r>
        <w:br/>
      </w:r>
      <w:r>
        <w:br/>
      </w:r>
      <w:r>
        <w:t xml:space="preserve">Status: Final Evaluation</w:t>
      </w:r>
    </w:p>
    <w:bookmarkStart w:id="20" w:name="abstract"/>
    <w:p>
      <w:pPr>
        <w:pStyle w:val="Heading2"/>
      </w:pPr>
      <w:r>
        <w:t xml:space="preserve">1. Abstract</w:t>
      </w:r>
    </w:p>
    <w:p>
      <w:pPr>
        <w:pStyle w:val="FirstParagraph"/>
      </w:pPr>
      <w:r>
        <w:t xml:space="preserve">This laboratory report details the rigorous testing and evaluation of various text editor software solutions intended for deployment within our newly established development hub in Germany Munich. The primary objective was to identify an optimal "Editor" tool that balances high-performance coding capabilities with strict adherence to data privacy regulations specific to the European Union. As Munich serves as a critical technological hub in Bavaria, hosting numerous automotive and engineering firms, the selection of software must reflect the precision, efficiency, and regulatory compliance expected in this region. This document outlines the methodology, test cases regarding performance under load, user experience surveys conducted with local engineers in Germany Munich, and final recommendations.</w:t>
      </w:r>
    </w:p>
    <w:bookmarkEnd w:id="20"/>
    <w:bookmarkStart w:id="21" w:name="introduction"/>
    <w:p>
      <w:pPr>
        <w:pStyle w:val="Heading2"/>
      </w:pPr>
      <w:r>
        <w:t xml:space="preserve">2. Introduction</w:t>
      </w:r>
    </w:p>
    <w:p>
      <w:pPr>
        <w:pStyle w:val="FirstParagraph"/>
      </w:pPr>
      <w:r>
        <w:t xml:space="preserve">The selection of development tools is a foundational decision for any technology organization. In the context of our expansion into Germany Munich, the requirements extend beyond mere functionality. The software must integrate seamlessly into existing workflows while respecting the cultural and legal nuances of operating in Germany.</w:t>
      </w:r>
    </w:p>
    <w:p>
      <w:pPr>
        <w:pStyle w:val="BodyText"/>
      </w:pPr>
      <w:r>
        <w:t xml:space="preserve">The core component under investigation is the "Editor," defined here as an Integrated Development Environment (IDE) or a highly configurable lightweight editor used for coding, configuration management, and data entry. The choice of editor impacts developer productivity significantly. Given that our operations are anchored in Germany Munich, we must also consider local support structures and the prevalence of specific technical stacks used by Munich-based partners.</w:t>
      </w:r>
    </w:p>
    <w:bookmarkEnd w:id="21"/>
    <w:bookmarkStart w:id="22" w:name="objectives"/>
    <w:p>
      <w:pPr>
        <w:pStyle w:val="Heading2"/>
      </w:pPr>
      <w:r>
        <w:t xml:space="preserve">3. Objectives</w:t>
      </w:r>
    </w:p>
    <w:p>
      <w:pPr>
        <w:numPr>
          <w:ilvl w:val="0"/>
          <w:numId w:val="1001"/>
        </w:numPr>
        <w:pStyle w:val="Compact"/>
      </w:pPr>
      <w:r>
        <w:rPr>
          <w:bCs/>
          <w:b/>
        </w:rPr>
        <w:t xml:space="preserve">Evaluate Performance:</w:t>
      </w:r>
      <w:r>
        <w:t xml:space="preserve"> </w:t>
      </w:r>
      <w:r>
        <w:t xml:space="preserve">Determine which Editor provides the fastest build times and lowest latency in a resource-constrained environment.</w:t>
      </w:r>
    </w:p>
    <w:p>
      <w:pPr>
        <w:numPr>
          <w:ilvl w:val="0"/>
          <w:numId w:val="1001"/>
        </w:numPr>
        <w:pStyle w:val="Compact"/>
      </w:pPr>
      <w:r>
        <w:rPr>
          <w:bCs/>
          <w:b/>
        </w:rPr>
        <w:t xml:space="preserve">Suite Compliance:</w:t>
      </w:r>
      <w:r>
        <w:t xml:space="preserve"> </w:t>
      </w:r>
      <w:r>
        <w:t xml:space="preserve">Ensure the chosen Editor complies with General Data Protection Regulation (GDPR) standards, a critical factor for any entity operating in Germany Munich.</w:t>
      </w:r>
    </w:p>
    <w:p>
      <w:pPr>
        <w:numPr>
          <w:ilvl w:val="0"/>
          <w:numId w:val="1001"/>
        </w:numPr>
        <w:pStyle w:val="Compact"/>
      </w:pPr>
      <w:r>
        <w:rPr>
          <w:bCs/>
          <w:b/>
        </w:rPr>
        <w:t xml:space="preserve">User Adoption:</w:t>
      </w:r>
      <w:r>
        <w:t xml:space="preserve"> </w:t>
      </w:r>
      <w:r>
        <w:t xml:space="preserve">Assess the learning curve and user satisfaction among developers recruited locally in Germany Munich.</w:t>
      </w:r>
    </w:p>
    <w:p>
      <w:pPr>
        <w:numPr>
          <w:ilvl w:val="0"/>
          <w:numId w:val="1001"/>
        </w:numPr>
        <w:pStyle w:val="Compact"/>
      </w:pPr>
      <w:r>
        <w:rPr>
          <w:bCs/>
          <w:b/>
        </w:rPr>
        <w:t xml:space="preserve">Ecosystem Integration:</w:t>
      </w:r>
      <w:r>
        <w:t xml:space="preserve"> </w:t>
      </w:r>
      <w:r>
        <w:t xml:space="preserve">Verify compatibility with tools commonly used by industrial partners in the Bavarian region.</w:t>
      </w:r>
    </w:p>
    <w:bookmarkEnd w:id="22"/>
    <w:bookmarkStart w:id="25" w:name="methodology"/>
    <w:p>
      <w:pPr>
        <w:pStyle w:val="Heading2"/>
      </w:pPr>
      <w:r>
        <w:t xml:space="preserve">4. Methodology</w:t>
      </w:r>
    </w:p>
    <w:p>
      <w:pPr>
        <w:pStyle w:val="FirstParagraph"/>
      </w:pPr>
      <w:r>
        <w:t xml:space="preserve">The testing phase was conducted over a four-week period. Three prominent Editors were selected for evaluation: Editor Alpha (a cloud-native, AI-integrated platform), Editor Beta (a local-first, open-source robust environment), and Editor Gamma (a lightweight, minimalist text processor).</w:t>
      </w:r>
    </w:p>
    <w:bookmarkStart w:id="23" w:name="hardware-specifications"/>
    <w:p>
      <w:pPr>
        <w:pStyle w:val="Heading3"/>
      </w:pPr>
      <w:r>
        <w:t xml:space="preserve">4.1 Hardware Specifications</w:t>
      </w:r>
    </w:p>
    <w:p>
      <w:pPr>
        <w:pStyle w:val="FirstParagraph"/>
      </w:pPr>
      <w:r>
        <w:t xml:space="preserve">All tests were performed on standard-issue workstations provided to the Munich team.</w:t>
      </w:r>
    </w:p>
    <w:p>
      <w:pPr>
        <w:numPr>
          <w:ilvl w:val="0"/>
          <w:numId w:val="1002"/>
        </w:numPr>
        <w:pStyle w:val="Compact"/>
      </w:pPr>
      <w:r>
        <w:rPr>
          <w:bCs/>
          <w:b/>
        </w:rPr>
        <w:t xml:space="preserve">CPU:</w:t>
      </w:r>
      <w:r>
        <w:t xml:space="preserve"> </w:t>
      </w:r>
      <w:r>
        <w:t xml:space="preserve">Intel Core i7-12700K</w:t>
      </w:r>
    </w:p>
    <w:p>
      <w:pPr>
        <w:numPr>
          <w:ilvl w:val="0"/>
          <w:numId w:val="1002"/>
        </w:numPr>
        <w:pStyle w:val="Compact"/>
      </w:pPr>
      <w:r>
        <w:rPr>
          <w:bCs/>
          <w:b/>
        </w:rPr>
        <w:t xml:space="preserve">RAM:</w:t>
      </w:r>
      <w:r>
        <w:t xml:space="preserve"> </w:t>
      </w:r>
      <w:r>
        <w:t xml:space="preserve">32GB DDR4</w:t>
      </w:r>
    </w:p>
    <w:p>
      <w:pPr>
        <w:numPr>
          <w:ilvl w:val="0"/>
          <w:numId w:val="1002"/>
        </w:numPr>
        <w:pStyle w:val="Compact"/>
      </w:pPr>
      <w:r>
        <w:rPr>
          <w:bCs/>
          <w:b/>
        </w:rPr>
        <w:t xml:space="preserve">Storage:</w:t>
      </w:r>
      <w:r>
        <w:t xml:space="preserve"> </w:t>
      </w:r>
      <w:r>
        <w:t xml:space="preserve">1TB NVMe SSD</w:t>
      </w:r>
    </w:p>
    <w:bookmarkEnd w:id="23"/>
    <w:bookmarkStart w:id="24" w:name="test-cases-for-the-editor-software"/>
    <w:p>
      <w:pPr>
        <w:pStyle w:val="Heading3"/>
      </w:pPr>
      <w:r>
        <w:t xml:space="preserve">4.2 Test Cases for the Editor Software</w:t>
      </w:r>
    </w:p>
    <w:p>
      <w:pPr>
        <w:pStyle w:val="FirstParagraph"/>
      </w:pPr>
      <w:r>
        <w:t xml:space="preserve">The following specific scenarios were executed to test each Editor:</w:t>
      </w:r>
    </w:p>
    <w:p>
      <w:pPr>
        <w:numPr>
          <w:ilvl w:val="0"/>
          <w:numId w:val="1003"/>
        </w:numPr>
        <w:pStyle w:val="Compact"/>
      </w:pPr>
      <w:r>
        <w:rPr>
          <w:bCs/>
          <w:b/>
        </w:rPr>
        <w:t xml:space="preserve">Loading Speed:</w:t>
      </w:r>
      <w:r>
        <w:t xml:space="preserve"> </w:t>
      </w:r>
      <w:r>
        <w:t xml:space="preserve">Time taken to open a repository containing 10,000 files.</w:t>
      </w:r>
    </w:p>
    <w:p>
      <w:pPr>
        <w:numPr>
          <w:ilvl w:val="0"/>
          <w:numId w:val="1003"/>
        </w:numPr>
        <w:pStyle w:val="Compact"/>
      </w:pPr>
      <w:r>
        <w:rPr>
          <w:bCs/>
          <w:b/>
        </w:rPr>
        <w:t xml:space="preserve">Syntax Highlighting Accuracy:</w:t>
      </w:r>
      <w:r>
        <w:t xml:space="preserve"> </w:t>
      </w:r>
      <w:r>
        <w:t xml:space="preserve">Error detection rates in C++ and Java codebases common in Munich’s automotive sector.</w:t>
      </w:r>
    </w:p>
    <w:p>
      <w:pPr>
        <w:numPr>
          <w:ilvl w:val="0"/>
          <w:numId w:val="1003"/>
        </w:numPr>
        <w:pStyle w:val="Compact"/>
      </w:pPr>
      <w:r>
        <w:rPr>
          <w:bCs/>
          <w:b/>
        </w:rPr>
        <w:t xml:space="preserve">Data Privacy Audit:</w:t>
      </w:r>
      <w:r>
        <w:t xml:space="preserve"> </w:t>
      </w:r>
      <w:r>
        <w:t xml:space="preserve">Analysis of telemetry data sent to external servers. This is paramount for operations within Germany Munich due to strict federal privacy laws.</w:t>
      </w:r>
    </w:p>
    <w:p>
      <w:pPr>
        <w:numPr>
          <w:ilvl w:val="0"/>
          <w:numId w:val="1003"/>
        </w:numPr>
        <w:pStyle w:val="Compact"/>
      </w:pPr>
      <w:r>
        <w:rPr>
          <w:bCs/>
          <w:b/>
        </w:rPr>
        <w:t xml:space="preserve">User Interface Responsiveness:</w:t>
      </w:r>
      <w:r>
        <w:t xml:space="preserve"> </w:t>
      </w:r>
      <w:r>
        <w:t xml:space="preserve">Measured in frames per second (FPS) during heavy plugin usage.</w:t>
      </w:r>
    </w:p>
    <w:bookmarkEnd w:id="24"/>
    <w:bookmarkEnd w:id="25"/>
    <w:bookmarkStart w:id="29" w:name="results"/>
    <w:p>
      <w:pPr>
        <w:pStyle w:val="Heading2"/>
      </w:pPr>
      <w:r>
        <w:t xml:space="preserve">5. Results</w:t>
      </w:r>
    </w:p>
    <w:p>
      <w:pPr>
        <w:pStyle w:val="FirstParagraph"/>
      </w:pPr>
      <w:r>
        <w:t xml:space="preserve">Metric</w:t>
      </w:r>
    </w:p>
    <w:p>
      <w:pPr>
        <w:pStyle w:val="BodyText"/>
      </w:pPr>
      <w:r>
        <w:br/>
      </w:r>
      <w:r>
        <w:t xml:space="preserve">Editor Alpha</w:t>
      </w:r>
      <w:r>
        <w:br/>
      </w:r>
      <w:r>
        <w:br/>
      </w:r>
      <w:r>
        <w:t xml:space="preserve">Editor Beta</w:t>
      </w:r>
      <w:r>
        <w:br/>
      </w:r>
      <w:r>
        <w:br/>
      </w:r>
      <w:r>
        <w:t xml:space="preserve">Editor Gamma</w:t>
      </w:r>
    </w:p>
    <w:p>
      <w:pPr>
        <w:pStyle w:val="BodyText"/>
      </w:pPr>
      <w:r>
        <w:br/>
      </w:r>
      <w:r>
        <w:t xml:space="preserve">'</w:t>
      </w:r>
      <w:r>
        <w:t xml:space="preserve"> </w:t>
      </w:r>
      <w:r>
        <w:t xml:space="preserve">' ' "12.4s</w:t>
      </w:r>
    </w:p>
    <w:p>
      <w:pPr>
        <w:pStyle w:val="BodyText"/>
      </w:pPr>
      <w:r>
        <w:t xml:space="preserve">4.2s</w:t>
      </w:r>
    </w:p>
    <w:p>
      <w:pPr>
        <w:pStyle w:val="BodyText"/>
      </w:pPr>
      <w:r>
        <w:t xml:space="preserve">1.8s</w:t>
      </w:r>
    </w:p>
    <w:p>
      <w:pPr>
        <w:pStyle w:val="BodyText"/>
      </w:pPr>
      <w:r>
        <w:t xml:space="preserve">"</w:t>
      </w:r>
      <w:r>
        <w:t xml:space="preserve"> </w:t>
      </w:r>
      <w:r>
        <w:t xml:space="preserve">' 50 MB/day</w:t>
      </w:r>
    </w:p>
    <w:p>
      <w:pPr>
        <w:pStyle w:val="BodyText"/>
      </w:pPr>
      <w:r>
        <w:t xml:space="preserve">0 MB/day (Local)</w:t>
      </w:r>
    </w:p>
    <w:p>
      <w:pPr>
        <w:pStyle w:val="BodyText"/>
      </w:pPr>
      <w:r>
        <w:t xml:space="preserve">0 MB/day (Local)</w:t>
      </w:r>
    </w:p>
    <w:p>
      <w:pPr>
        <w:pStyle w:val="BodyText"/>
      </w:pPr>
      <w:r>
        <w:t xml:space="preserve">"</w:t>
      </w:r>
      <w:r>
        <w:t xml:space="preserve"> </w:t>
      </w:r>
      <w:r>
        <w:t xml:space="preserve">' 98.5%</w:t>
      </w:r>
      <w:r>
        <w:br/>
      </w:r>
      <w:r>
        <w:t xml:space="preserve">96.2%</w:t>
      </w:r>
      <w:r>
        <w:br/>
      </w:r>
      <w:r>
        <w:t xml:space="preserve">89.4%</w:t>
      </w:r>
    </w:p>
    <w:p>
      <w:pPr>
        <w:pStyle w:val="BodyText"/>
      </w:pPr>
      <w:r>
        <w:rPr>
          <w:iCs/>
          <w:i/>
        </w:rPr>
        <w:t xml:space="preserve">Note: The table above summarizes the quantitative findings.</w:t>
      </w:r>
    </w:p>
    <w:bookmarkStart w:id="26" w:name="performance-analysis"/>
    <w:p>
      <w:pPr>
        <w:pStyle w:val="Heading3"/>
      </w:pPr>
      <w:r>
        <w:t xml:space="preserve">5.1 Performance Analysis</w:t>
      </w:r>
    </w:p>
    <w:p>
      <w:pPr>
        <w:pStyle w:val="FirstParagraph"/>
      </w:pPr>
      <w:r>
        <w:t xml:space="preserve">The results indicate that Editor Beta and Editor Gamma significantly outperformed Editor Alpha in terms of local resource management. For developers working on large-scale embedded systems—a common requirement for partners in Germany Munich—local processing power is essential. The cloud-based nature of Editor Alpha introduced latency issues when connecting from our Munich office to US-based servers, resulting in an inconsistent user experience.</w:t>
      </w:r>
    </w:p>
    <w:bookmarkEnd w:id="26"/>
    <w:bookmarkStart w:id="27" w:name="privacy-and-compliance"/>
    <w:p>
      <w:pPr>
        <w:pStyle w:val="Heading3"/>
      </w:pPr>
      <w:r>
        <w:t xml:space="preserve">5.2 Privacy and Compliance</w:t>
      </w:r>
    </w:p>
    <w:p>
      <w:pPr>
        <w:pStyle w:val="FirstParagraph"/>
      </w:pPr>
      <w:r>
        <w:t xml:space="preserve">A critical finding was the telemetry data transmission of Editor Alpha. Despite its advanced features, the volume of data sent daily (50 MB) raised immediate concerns regarding GDPR compliance within Germany Munich. The legal team in Munich flagged this as a potential risk requiring complex user consent forms and strict network firewalls. Conversely, Editor Beta and Gamma operated entirely locally by default, ensuring that no code or metadata left the premises unless explicitly configured to do so. This "privacy-by-design" approach was highly favored by the data protection officers in our Germany Munich branch.</w:t>
      </w:r>
    </w:p>
    <w:bookmarkEnd w:id="27"/>
    <w:bookmarkStart w:id="28" w:name="user-feedback-from-munich-engineers"/>
    <w:p>
      <w:pPr>
        <w:pStyle w:val="Heading3"/>
      </w:pPr>
      <w:r>
        <w:t xml:space="preserve">5.3 User Feedback from Munich Engineers</w:t>
      </w:r>
    </w:p>
    <w:p>
      <w:pPr>
        <w:pStyle w:val="FirstParagraph"/>
      </w:pPr>
      <w:r>
        <w:t xml:space="preserve">Surveys were distributed to 20 developers currently working in our Germany Munich office.</w:t>
      </w:r>
    </w:p>
    <w:p>
      <w:pPr>
        <w:numPr>
          <w:ilvl w:val="0"/>
          <w:numId w:val="1004"/>
        </w:numPr>
        <w:pStyle w:val="Compact"/>
      </w:pPr>
      <w:r>
        <w:rPr>
          <w:bCs/>
          <w:b/>
        </w:rPr>
        <w:t xml:space="preserve">Editor Alpha:</w:t>
      </w:r>
      <w:r>
        <w:t xml:space="preserve"> </w:t>
      </w:r>
      <w:r>
        <w:t xml:space="preserve">Praised for AI suggestions but criticized for occasional lag.</w:t>
      </w:r>
    </w:p>
    <w:p>
      <w:pPr>
        <w:numPr>
          <w:ilvl w:val="0"/>
          <w:numId w:val="1004"/>
        </w:numPr>
        <w:pStyle w:val="Compact"/>
      </w:pPr>
      <w:r>
        <w:rPr>
          <w:bCs/>
          <w:b/>
        </w:rPr>
        <w:t xml:space="preserve">Editor Beta:</w:t>
      </w:r>
      <w:r>
        <w:t xml:space="preserve"> </w:t>
      </w:r>
      <w:r>
        <w:t xml:space="preserve">Highly rated for stability and customizability. Many developers noted it felt "professional" and aligned with the engineering culture prevalent in Bavaria.</w:t>
      </w:r>
    </w:p>
    <w:p>
      <w:pPr>
        <w:numPr>
          <w:ilvl w:val="0"/>
          <w:numId w:val="1004"/>
        </w:numPr>
        <w:pStyle w:val="Compact"/>
      </w:pPr>
      <w:r>
        <w:rPr>
          <w:bCs/>
          <w:b/>
        </w:rPr>
        <w:t xml:space="preserve">Editor Gamma:</w:t>
      </w:r>
      <w:r>
        <w:t xml:space="preserve"> </w:t>
      </w:r>
      <w:r>
        <w:t xml:space="preserve">Loved by senior architects but rejected by junior staff due to a steep learning curve.</w:t>
      </w:r>
    </w:p>
    <w:bookmarkEnd w:id="28"/>
    <w:bookmarkEnd w:id="29"/>
    <w:bookmarkStart w:id="30" w:name="discussion"/>
    <w:p>
      <w:pPr>
        <w:pStyle w:val="Heading2"/>
      </w:pPr>
      <w:r>
        <w:t xml:space="preserve">6. Discussion</w:t>
      </w:r>
    </w:p>
    <w:p>
      <w:pPr>
        <w:pStyle w:val="FirstParagraph"/>
      </w:pPr>
      <w:r>
        <w:t xml:space="preserve">The decision-making process for selecting the final Editor cannot be based solely on technical specifications. The cultural context of Germany Munich plays a substantial role. German engineering culture values reliability, precision, and privacy above all else. The "Editor" must reflect these values.</w:t>
      </w:r>
    </w:p>
    <w:p>
      <w:pPr>
        <w:pStyle w:val="BodyText"/>
      </w:pPr>
      <w:r>
        <w:t xml:space="preserve">While Editor Alpha offered modern conveniences like AI-driven code completion, the latency issues and privacy concerns made it unsuitable as a primary tool for our Germany Munich headquarters. The connection instability disrupted the workflow of engineers focused on real-time data processing. Furthermore, the legal implications of storing German intellectual property on foreign servers are too significant to ignore.</w:t>
      </w:r>
    </w:p>
    <w:p>
      <w:pPr>
        <w:pStyle w:val="BodyText"/>
      </w:pPr>
      <w:r>
        <w:t xml:space="preserve">Editor Beta emerged as the strongest candidate. It provided a balance between modern features and local security. Its ability to run entirely offline satisfied the strict requirements set by our compliance team in Germany Munich. Additionally, its extensive plugin ecosystem allowed for integration with legacy systems still used by some of our long-standing partners in the region.</w:t>
      </w:r>
    </w:p>
    <w:bookmarkEnd w:id="30"/>
    <w:bookmarkStart w:id="31" w:name="recommendations"/>
    <w:p>
      <w:pPr>
        <w:pStyle w:val="Heading2"/>
      </w:pPr>
      <w:r>
        <w:t xml:space="preserve">7. Recommendations</w:t>
      </w:r>
    </w:p>
    <w:p>
      <w:pPr>
        <w:pStyle w:val="FirstParagraph"/>
      </w:pPr>
      <w:r>
        <w:t xml:space="preserve">Based on the comprehensive testing and analysis, the following recommendations are made:</w:t>
      </w:r>
    </w:p>
    <w:p>
      <w:pPr>
        <w:numPr>
          <w:ilvl w:val="0"/>
          <w:numId w:val="1005"/>
        </w:numPr>
        <w:pStyle w:val="Compact"/>
      </w:pPr>
      <w:r>
        <w:rPr>
          <w:bCs/>
          <w:b/>
        </w:rPr>
        <w:t xml:space="preserve">Select Editor Beta as the Standard Tool:</w:t>
      </w:r>
      <w:r>
        <w:t xml:space="preserve"> </w:t>
      </w:r>
      <w:r>
        <w:t xml:space="preserve">Deploy Editor Beta across all workstations in our Germany Munich office. Its balance of performance, privacy, and functionality aligns best with operational requirements.</w:t>
      </w:r>
    </w:p>
    <w:p>
      <w:pPr>
        <w:numPr>
          <w:ilvl w:val="0"/>
          <w:numId w:val="1005"/>
        </w:numPr>
        <w:pStyle w:val="Compact"/>
      </w:pPr>
      <w:r>
        <w:br/>
      </w:r>
      <w:r>
        <w:t xml:space="preserve">Allow Customization for Specialists: Permit senior engineers to utilize Editor Gamma for specific legacy maintenance tasks where a lightweight footprint is required.</w:t>
      </w:r>
    </w:p>
    <w:bookmarkEnd w:id="31"/>
    <w:bookmarkStart w:id="32" w:name="conclusion"/>
    <w:p>
      <w:pPr>
        <w:pStyle w:val="Heading2"/>
      </w:pPr>
      <w:r>
        <w:t xml:space="preserve">8. Conclusion</w:t>
      </w:r>
    </w:p>
    <w:p>
      <w:pPr>
        <w:pStyle w:val="FirstParagraph"/>
      </w:pPr>
      <w:r>
        <w:t xml:space="preserve">This laboratory report has demonstrated that the choice of an "Editor" is a multifaceted decision influenced by technical performance, legal compliance, and regional expectations. For our operations in Germany Munich, the priority must remain on data sovereignty and reliability. Editor Beta has proven to be the most suitable tool for this environment. By adhering to these recommendations, we ensure that our development processes in Germany Munich are not only efficient but also compliant with the rigorous standards expected by German law and industry partners.</w:t>
      </w:r>
    </w:p>
    <w:bookmarkEnd w:id="32"/>
    <w:bookmarkStart w:id="33" w:name="references"/>
    <w:p>
      <w:pPr>
        <w:pStyle w:val="Heading2"/>
      </w:pPr>
      <w:r>
        <w:t xml:space="preserve">9. References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Text Editor Implementation in Germany Munich</dc:title>
  <dc:creator/>
  <dc:language>en</dc:language>
  <cp:keywords/>
  <dcterms:created xsi:type="dcterms:W3CDTF">2026-07-29T12:49:57Z</dcterms:created>
  <dcterms:modified xsi:type="dcterms:W3CDTF">2026-07-29T12:49:57Z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