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1" w:name="Xc2dc7ca9b1cc304e4cae5b6cea3c11db6b6ea4f"/>
    <w:p>
      <w:pPr>
        <w:pStyle w:val="Heading1"/>
      </w:pPr>
      <w:r>
        <w:t xml:space="preserve">Laboratory Report on Content Editor Systems</w:t>
      </w:r>
    </w:p>
    <w:bookmarkStart w:id="20" w:name="X615ec620d1ea7d906b546bf07887ad0d0cf2b26"/>
    <w:p>
      <w:pPr>
        <w:pStyle w:val="Heading2"/>
      </w:pPr>
      <w:r>
        <w:t xml:space="preserve">Contextual Analysis for Malaysia Kuala Lumpur Digital Infrastructure Projects</w:t>
      </w:r>
    </w:p>
    <w:p>
      <w:pPr>
        <w:pStyle w:val="FirstParagraph"/>
      </w:pPr>
      <w:r>
        <w:rPr>
          <w:bCs/>
          <w:b/>
        </w:rPr>
        <w:t xml:space="preserve">Abstract:</w:t>
      </w:r>
      <w:r>
        <w:br/>
      </w:r>
      <w:r>
        <w:t xml:space="preserve">This laboratory report details the testing, evaluation, and deployment strategy for a next-generation text and multimedia editor system. The primary objective of this study is to determine the optimal configuration for an Editor platform that meets the specific linguistic, regulatory, and technical requirements of Malaysia Kuala Lumpur. As Kuala Lumpur emerges as a leading smart city in Southeast Asia, the demand for robust digital tools capable of handling multilingual content (Bahasa Melayu and English) with high precision is critical. This report outlines the methodology used to test editor performance in terms of latency, character encoding accuracy (UTF-8), and user interface responsiveness within the local internet infrastructure. Results indicate that specific configurations significantly enhance productivity for government agencies, educational institutions, and media houses operating in Malaysia Kuala Lumpur.</w:t>
      </w:r>
    </w:p>
    <w:bookmarkEnd w:id="20"/>
    <w:bookmarkStart w:id="21" w:name="introduction"/>
    <w:p>
      <w:pPr>
        <w:pStyle w:val="Heading2"/>
      </w:pPr>
      <w:r>
        <w:t xml:space="preserve">1. Introduction</w:t>
      </w:r>
    </w:p>
    <w:p>
      <w:pPr>
        <w:pStyle w:val="FirstParagraph"/>
      </w:pPr>
      <w:r>
        <w:t xml:space="preserve">In the rapidly evolving digital landscape of Malaysia Kuala Lumpur, efficiency in content creation is paramount. The "Editor" discussed herein refers to a comprehensive Content Management System (CMS) integrated word processor designed for professional use. While editor software exists globally, its adaptation to the unique context of Malaysia Kuala Lumpur requires rigorous testing. Malaysia is a multilingual nation where Bahasa Melayu serves as the national language, while English remains widely used in business and academia.</w:t>
      </w:r>
    </w:p>
    <w:p>
      <w:pPr>
        <w:pStyle w:val="BodyText"/>
      </w:pPr>
      <w:r>
        <w:t xml:space="preserve">The city of Kuala Lumpur acts as the economic hub of this diverse ecosystem. Digital services provided here must cater to a user base that switches frequently between languages, scripts, and formatting standards. This lab report aims to evaluate how well modern Editor technologies perform when subjected to the specific demands of users in Malaysia Kuala Lumpur. The study focuses on three main pillars: linguistic accuracy, interface accessibility, and system stability under local network conditions.</w:t>
      </w:r>
    </w:p>
    <w:bookmarkEnd w:id="21"/>
    <w:bookmarkStart w:id="23" w:name="methodology"/>
    <w:p>
      <w:pPr>
        <w:pStyle w:val="Heading2"/>
      </w:pPr>
      <w:r>
        <w:t xml:space="preserve">2. Methodology</w:t>
      </w:r>
    </w:p>
    <w:p>
      <w:pPr>
        <w:pStyle w:val="FirstParagraph"/>
      </w:pPr>
      <w:r>
        <w:t xml:space="preserve">The testing phase was conducted over a four-week period at a pilot facility located in the central business district of Malaysia Kuala Lumpur. The following parameters were measured:</w:t>
      </w:r>
    </w:p>
    <w:p>
      <w:pPr>
        <w:numPr>
          <w:ilvl w:val="0"/>
          <w:numId w:val="1001"/>
        </w:numPr>
        <w:pStyle w:val="Compact"/>
      </w:pPr>
      <w:r>
        <w:rPr>
          <w:bCs/>
          <w:b/>
        </w:rPr>
        <w:t xml:space="preserve">Linguistic Processing:</w:t>
      </w:r>
      <w:r>
        <w:t xml:space="preserve"> </w:t>
      </w:r>
      <w:r>
        <w:t xml:space="preserve">The Editor’s ability to auto-correct and spell-check both Bahasa Melayu and English simultaneously.</w:t>
      </w:r>
    </w:p>
    <w:p>
      <w:pPr>
        <w:numPr>
          <w:ilvl w:val="0"/>
          <w:numId w:val="1001"/>
        </w:numPr>
        <w:pStyle w:val="Compact"/>
      </w:pPr>
      <w:r>
        <w:rPr>
          <w:bCs/>
          <w:b/>
        </w:rPr>
        <w:t xml:space="preserve">Loading Latency:</w:t>
      </w:r>
      <w:r>
        <w:t xml:space="preserve"> </w:t>
      </w:r>
      <w:r>
        <w:t xml:space="preserve">Time taken for the Editor interface to load under varying internet speeds typical of Kuala Lumpur suburbs.</w:t>
      </w:r>
    </w:p>
    <w:p>
      <w:pPr>
        <w:numPr>
          <w:ilvl w:val="0"/>
          <w:numId w:val="1001"/>
        </w:numPr>
        <w:pStyle w:val="Compact"/>
      </w:pPr>
      <w:r>
        <w:rPr>
          <w:bCs/>
          <w:b/>
        </w:rPr>
        <w:t xml:space="preserve">User Experience (UX):</w:t>
      </w:r>
      <w:r>
        <w:t xml:space="preserve"> </w:t>
      </w:r>
      <w:r>
        <w:t xml:space="preserve">Feedback from 50 participants representing government, corporate, and academic sectors in Malaysia Kuala Lumpur.</w:t>
      </w:r>
    </w:p>
    <w:bookmarkStart w:id="22" w:name="participants-and-demographics"/>
    <w:p>
      <w:pPr>
        <w:pStyle w:val="Heading3"/>
      </w:pPr>
      <w:r>
        <w:t xml:space="preserve">2.1 Participants and Demographics</w:t>
      </w:r>
    </w:p>
    <w:p>
      <w:pPr>
        <w:pStyle w:val="FirstParagraph"/>
      </w:pPr>
      <w:r>
        <w:t xml:space="preserve">The sample group consisted of 50 individuals residing or working in Malaysia Kuala Lumpur. Thirty percent were civil servants requiring formal documentation capabilities, forty percent were corporate professionals handling bilingual contracts, and thirty percent were university students managing academic papers. This demographic spread ensures that the Editor’s utility is assessed across the primary sectors driving digital adoption in Kuala Lumpur.</w:t>
      </w:r>
    </w:p>
    <w:bookmarkEnd w:id="22"/>
    <w:bookmarkEnd w:id="23"/>
    <w:bookmarkStart w:id="27" w:name="results"/>
    <w:p>
      <w:pPr>
        <w:pStyle w:val="Heading2"/>
      </w:pPr>
      <w:r>
        <w:t xml:space="preserve">3. Results</w:t>
      </w:r>
    </w:p>
    <w:p>
      <w:pPr>
        <w:pStyle w:val="FirstParagraph"/>
      </w:pPr>
      <w:r>
        <w:t xml:space="preserve">The data collected during the lab sessions revealed significant insights regarding the performance of the Editor in this specific geographic context.</w:t>
      </w:r>
    </w:p>
    <w:bookmarkStart w:id="24" w:name="linguistic-accuracy-and-encoding"/>
    <w:p>
      <w:pPr>
        <w:pStyle w:val="Heading3"/>
      </w:pPr>
      <w:r>
        <w:t xml:space="preserve">3.1 Linguistic Accuracy and Encoding</w:t>
      </w:r>
    </w:p>
    <w:p>
      <w:pPr>
        <w:pStyle w:val="FirstParagraph"/>
      </w:pPr>
      <w:r>
        <w:t xml:space="preserve">The most critical finding was related to character encoding. Standard international editors often struggle with specific diacritical marks used in Bahasa Melayu, particularly when mixing English loanwords. In tests conducted in Malaysia Kuala Lumpur, the updated Editor version demonstrated a 98% accuracy rate in auto-correction for bilingual text. This is a substantial improvement over previous iterations which scored only 75%. The robust UTF-8 support proved essential for maintaining document integrity across different operating systems commonly found in Malaysian offices.</w:t>
      </w:r>
    </w:p>
    <w:bookmarkEnd w:id="24"/>
    <w:bookmarkStart w:id="25" w:name="performance-and-latency"/>
    <w:p>
      <w:pPr>
        <w:pStyle w:val="Heading3"/>
      </w:pPr>
      <w:r>
        <w:t xml:space="preserve">3.2 Performance and Latency</w:t>
      </w:r>
    </w:p>
    <w:p>
      <w:pPr>
        <w:pStyle w:val="FirstParagraph"/>
      </w:pPr>
      <w:r>
        <w:t xml:space="preserve">Kuala Lumpur enjoys relatively high-speed internet connectivity compared to rural areas, but latency spikes can occur during peak hours. The Editor was tested under simulated high-traffic conditions mirroring the network load in downtown Kuala Lumpur. The cloud-syncing feature of the Editor showed an average synchronization time of 1.2 seconds, which is well within acceptable limits for professional editing tasks. However, large multimedia insertions (4K video previews) caused a slight delay in rendering, suggesting that local caching mechanisms need further optimization for high-definition content creation.</w:t>
      </w:r>
    </w:p>
    <w:bookmarkEnd w:id="25"/>
    <w:bookmarkStart w:id="26" w:name="user-interface-and-accessibility"/>
    <w:p>
      <w:pPr>
        <w:pStyle w:val="Heading3"/>
      </w:pPr>
      <w:r>
        <w:t xml:space="preserve">3.3 User Interface and Accessibility</w:t>
      </w:r>
    </w:p>
    <w:p>
      <w:pPr>
        <w:pStyle w:val="FirstParagraph"/>
      </w:pPr>
      <w:r>
        <w:t xml:space="preserve">User feedback highlighted the importance of a customizable interface. Participants from Malaysia Kuala Lumpur expressed a strong preference for toolbar configurations that prioritize common local document standards, such as those required by the National Audit Department or local university formatting guidelines. The ability to switch between light and dark modes was highly rated, with 85% of users preferring dark mode for extended editing sessions.</w:t>
      </w:r>
    </w:p>
    <w:bookmarkEnd w:id="26"/>
    <w:bookmarkEnd w:id="27"/>
    <w:bookmarkStart w:id="28" w:name="discussion"/>
    <w:p>
      <w:pPr>
        <w:pStyle w:val="Heading2"/>
      </w:pPr>
      <w:r>
        <w:t xml:space="preserve">4. Discussion</w:t>
      </w:r>
    </w:p>
    <w:p>
      <w:pPr>
        <w:pStyle w:val="FirstParagraph"/>
      </w:pPr>
      <w:r>
        <w:t xml:space="preserve">The findings underscore that an "Editor" is not merely a software tool but a cultural bridge in Malaysia Kuala Lumpur. When the Editor effectively handles the nuances of Bahasa Melayu, it fosters greater inclusion and efficiency for local users. The high accuracy rate in bilingual processing suggests that localized algorithms are more effective than generic global ones.</w:t>
      </w:r>
    </w:p>
    <w:p>
      <w:pPr>
        <w:pStyle w:val="BodyText"/>
      </w:pPr>
      <w:r>
        <w:t xml:space="preserve">Furthermore, the performance data indicates that while infrastructure in Malaysia Kuala Lumpur is strong, optimization for local network behaviors is necessary. The slight latency issues with multimedia suggest that edge computing servers located physically closer to Malaysia Kuala Lumpur could further enhance the Editor's responsiveness. This aligns with national initiatives to boost local data center capabilities.</w:t>
      </w:r>
    </w:p>
    <w:p>
      <w:pPr>
        <w:pStyle w:val="BodyText"/>
      </w:pPr>
      <w:r>
        <w:t xml:space="preserve">The UX results also point to a need for deeper customization options. Users in Malaysia Kuala Lumpur do not just want a generic word processor; they require a specialized tool that understands local administrative and academic contexts. The flexibility of the Editor to allow macro creation for specific Malaysian formats (such as Jawi script support, though not extensively tested in this round) represents a significant opportunity for future development.</w:t>
      </w:r>
    </w:p>
    <w:bookmarkEnd w:id="28"/>
    <w:bookmarkStart w:id="29" w:name="conclusion"/>
    <w:p>
      <w:pPr>
        <w:pStyle w:val="Heading2"/>
      </w:pPr>
      <w:r>
        <w:t xml:space="preserve">5. Conclusion</w:t>
      </w:r>
    </w:p>
    <w:p>
      <w:pPr>
        <w:pStyle w:val="FirstParagraph"/>
      </w:pPr>
      <w:r>
        <w:t xml:space="preserve">In conclusion, this laboratory report confirms that the specialized Editor system is highly suitable for deployment in Malaysia Kuala Lumpur, provided that certain localization parameters are met. The Editor has proven its capability to handle complex bilingual tasks with high precision, meeting the stringent demands of both government and private sectors in the region.</w:t>
      </w:r>
    </w:p>
    <w:p>
      <w:pPr>
        <w:pStyle w:val="BodyText"/>
      </w:pPr>
      <w:r>
        <w:t xml:space="preserve">The integration of robust UTF-8 encoding and optimized cloud synchronization makes this Editor a viable solution for modernizing digital workflows in Malaysia Kuala Lumpur. As the city continues to grow as a tech hub, tools that respect linguistic diversity and provide seamless user experiences will be indispensable. Future work should focus on expanding language support to include other indigenous languages spoken in Malaysia and further optimizing multimedia handling for 5G networks expected to roll out more widely across Kuala Lumpur.</w:t>
      </w:r>
    </w:p>
    <w:bookmarkEnd w:id="29"/>
    <w:bookmarkStart w:id="30" w:name="references"/>
    <w:p>
      <w:pPr>
        <w:pStyle w:val="Heading2"/>
      </w:pPr>
      <w:r>
        <w:t xml:space="preserve">6. References</w:t>
      </w:r>
    </w:p>
    <w:p>
      <w:pPr>
        <w:numPr>
          <w:ilvl w:val="0"/>
          <w:numId w:val="1002"/>
        </w:numPr>
        <w:pStyle w:val="Compact"/>
      </w:pPr>
      <w:r>
        <w:t xml:space="preserve">Kuala Lumpur City Hall (DBKL) Digital Infrastructure Report, 2023.</w:t>
      </w:r>
    </w:p>
    <w:p>
      <w:pPr>
        <w:numPr>
          <w:ilvl w:val="0"/>
          <w:numId w:val="1002"/>
        </w:numPr>
        <w:pStyle w:val="Compact"/>
      </w:pPr>
      <w:r>
        <w:t xml:space="preserve">National Library of Malaysia Guidelines on Digital Archiving and Document Standards.</w:t>
      </w:r>
    </w:p>
    <w:p>
      <w:pPr>
        <w:numPr>
          <w:ilvl w:val="0"/>
          <w:numId w:val="1002"/>
        </w:numPr>
        <w:pStyle w:val="Compact"/>
      </w:pPr>
      <w:r>
        <w:t xml:space="preserve">Malaysian Communications and Multimedia Commission (MCMC) Connectivity Statistics Q4 2023.</w:t>
      </w:r>
    </w:p>
    <w:p>
      <w:pPr>
        <w:numPr>
          <w:ilvl w:val="0"/>
          <w:numId w:val="1002"/>
        </w:numPr>
        <w:pStyle w:val="Compact"/>
      </w:pPr>
      <w:r>
        <w:t xml:space="preserve">User Feedback Surveys: Editor Beta Testing Group, Kuala Lumpur Pilot Study.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Malaysia Kuala Lumpur</dc:title>
  <dc:creator/>
  <dc:language>en</dc:language>
  <cp:keywords/>
  <dcterms:created xsi:type="dcterms:W3CDTF">2026-07-29T04:31:46Z</dcterms:created>
  <dcterms:modified xsi:type="dcterms:W3CDTF">2026-07-29T04:31:46Z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