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Technical</w:t>
      </w:r>
      <w:r>
        <w:t xml:space="preserve"> </w:t>
      </w:r>
      <w:r>
        <w:t xml:space="preserve">Evaluation</w:t>
      </w:r>
      <w:r>
        <w:t xml:space="preserve"> </w:t>
      </w:r>
      <w:r>
        <w:t xml:space="preserve">of</w:t>
      </w:r>
      <w:r>
        <w:t xml:space="preserve"> </w:t>
      </w:r>
      <w:r>
        <w:t xml:space="preserve">Content</w:t>
      </w:r>
      <w:r>
        <w:t xml:space="preserve"> </w:t>
      </w:r>
      <w:r>
        <w:t xml:space="preserve">Editors</w:t>
      </w:r>
      <w:r>
        <w:t xml:space="preserve"> </w:t>
      </w:r>
      <w:r>
        <w:t xml:space="preserve">for</w:t>
      </w:r>
      <w:r>
        <w:t xml:space="preserve"> </w:t>
      </w:r>
      <w:r>
        <w:t xml:space="preserve">Deployment</w:t>
      </w:r>
      <w:r>
        <w:t xml:space="preserve"> </w:t>
      </w:r>
      <w:r>
        <w:t xml:space="preserve">in</w:t>
      </w:r>
      <w:r>
        <w:t xml:space="preserve"> </w:t>
      </w:r>
      <w:r>
        <w:t xml:space="preserve">Thailand</w:t>
      </w:r>
      <w:r>
        <w:t xml:space="preserve"> </w:t>
      </w:r>
      <w:r>
        <w:t xml:space="preserve">Bangkok</w:t>
      </w:r>
    </w:p>
    <w:bookmarkStart w:id="23" w:name="lab-report-container"/>
    <w:bookmarkStart w:id="20" w:name="laboratory-evaluation-report"/>
    <w:p>
      <w:pPr>
        <w:pStyle w:val="Heading1"/>
      </w:pPr>
      <w:r>
        <w:rPr>
          <w:bCs/>
          <w:b/>
        </w:rPr>
        <w:t xml:space="preserve">Laboratory Evaluation Report</w:t>
      </w:r>
    </w:p>
    <w:p>
      <w:pPr>
        <w:pStyle w:val="FirstParagraph"/>
      </w:pPr>
      <w:r>
        <w:t xml:space="preserve">Digital Content Management Systems: Editor Usability in Thailand Bangkok Context</w:t>
      </w:r>
    </w:p>
    <w:bookmarkEnd w:id="20"/>
    <w:bookmarkStart w:id="21" w:name="objective"/>
    <w:p>
      <w:pPr>
        <w:pStyle w:val="Heading2"/>
      </w:pPr>
      <w:r>
        <w:t xml:space="preserve">1.0 Objective and Scope</w:t>
      </w:r>
    </w:p>
    <w:p>
      <w:pPr>
        <w:pStyle w:val="FirstParagraph"/>
      </w:pPr>
      <w:r>
        <w:t xml:space="preserve">The primary objective of this laboratory report is to evaluate, test, and document the performance of various digital text editors specifically tailored for deployment within a corporate or academic environment in Thailand Bangkok. As a rapidly growing economic hub in Southeast Asia, Thailand Bangkok presents unique linguistic, technological, and user-behavior challenges that require specialized attention when selecting software infrastructure.</w:t>
      </w:r>
    </w:p>
    <w:p>
      <w:pPr>
        <w:pStyle w:val="BodyText"/>
      </w:pPr>
      <w:r>
        <w:t xml:space="preserve">This Lab Report details the rigorous testing procedures employed to assess five leading Content Editors available on the market. The evaluation focuses not only on standard technical metrics such as load times and memory consumption but also places heavy emphasis on Unicode compliance, particularly for complex Thai script rendering, network latency simulation typical of Bangkok's dense urban infrastructure, and user interface localization.</w:t>
      </w:r>
    </w:p>
    <w:bookmarkEnd w:id="21"/>
    <w:bookmarkStart w:id="22" w:name="environment"/>
    <w:p>
      <w:pPr>
        <w:pStyle w:val="Heading2"/>
      </w:pPr>
      <w:r>
        <w:t xml:space="preserve">2.0 Laboratory Test Environment</w:t>
      </w:r>
    </w:p>
    <w:p>
      <w:pPr>
        <w:pStyle w:val="FirstParagraph"/>
      </w:pPr>
      <w:r>
        <w:t xml:space="preserve">To ensure the validity of this Lab Report regarding the Editor performance in Thailand Bangkok, a controlled laboratory environment was established that mimics real-world conditions found in this specific region.</w:t>
      </w:r>
    </w:p>
    <w:p>
      <w:pPr>
        <w:pStyle w:val="BodyText"/>
      </w:pPr>
      <w:r>
        <w:rPr>
          <w:bCs/>
          <w:b/>
        </w:rPr>
        <w:t xml:space="preserve">Component</w:t>
      </w:r>
    </w:p>
    <w:bookmarkEnd w:id="22"/>
    <w:bookmarkEnd w:id="23"/>
    <w:p>
      <w:pPr>
        <w:pStyle w:val="BodyText"/>
      </w:pPr>
      <w:r>
        <w:rPr>
          <w:bCs/>
          <w:b/>
        </w:rPr>
        <w:t xml:space="preserve">Specification</w:t>
      </w:r>
    </w:p>
    <w:p>
      <w:pPr>
        <w:pStyle w:val="BodyText"/>
      </w:pPr>
      <w:r>
        <w:rPr>
          <w:bCs/>
          <w:b/>
        </w:rPr>
        <w:t xml:space="preserve">Rationale for Thailand Bangkok Context</w:t>
      </w:r>
    </w:p>
    <w:p>
      <w:pPr>
        <w:pStyle w:val="BodyText"/>
      </w:pPr>
      <w:r>
        <w:t xml:space="preserve">Host Machine</w:t>
      </w:r>
    </w:p>
    <w:p>
      <w:pPr>
        <w:pStyle w:val="BodyText"/>
      </w:pPr>
      <w:r>
        <w:t xml:space="preserve">Dell Precision 5560, i7 Processor, 32GB RAM</w:t>
      </w:r>
    </w:p>
    <w:p>
      <w:pPr>
        <w:pStyle w:val="BodyText"/>
      </w:pPr>
      <w:r>
        <w:t xml:space="preserve">Mimics high-end corporate workstation specs common in central Bangkok business districts.</w:t>
      </w:r>
    </w:p>
    <w:p>
      <w:pPr>
        <w:pStyle w:val="BodyText"/>
      </w:pPr>
      <w:r>
        <w:rPr>
          <w:bCs/>
          <w:b/>
        </w:rPr>
        <w:t xml:space="preserve">Component</w:t>
      </w:r>
    </w:p>
    <w:p>
      <w:pPr>
        <w:pStyle w:val="BodyText"/>
      </w:pPr>
      <w:r>
        <w:rPr>
          <w:bCs/>
          <w:b/>
        </w:rPr>
        <w:t xml:space="preserve">Specification</w:t>
      </w:r>
    </w:p>
    <w:p>
      <w:pPr>
        <w:pStyle w:val="BodyText"/>
      </w:pPr>
      <w:r>
        <w:rPr>
          <w:bCs/>
          <w:b/>
        </w:rPr>
        <w:t xml:space="preserve">Component</w:t>
      </w:r>
    </w:p>
    <w:p>
      <w:pPr>
        <w:pStyle w:val="BodyText"/>
      </w:pPr>
      <w:r>
        <w:t xml:space="preserve">Specification</w:t>
      </w:r>
    </w:p>
    <w:p>
      <w:pPr>
        <w:pStyle w:val="BodyText"/>
      </w:pPr>
      <w:r>
        <w:t xml:space="preserve">--!</w:t>
      </w:r>
    </w:p>
    <w:p>
      <w:pPr>
        <w:pStyle w:val="BodyText"/>
      </w:pPr>
      <w:r>
        <w:t xml:space="preserve">--!</w:t>
      </w:r>
      <w:r>
        <w:t xml:space="preserve"> </w:t>
      </w:r>
      <w:r>
        <w:t xml:space="preserve">--! It is better to just write the table directly without comments interfering with parsing -- ! &gt;</w:t>
      </w:r>
    </w:p>
    <w:p>
      <w:pPr>
        <w:pStyle w:val="BodyText"/>
      </w:pPr>
      <w:r>
        <w:t xml:space="preserve">Component</w:t>
      </w:r>
    </w:p>
    <w:p>
      <w:pPr>
        <w:pStyle w:val="BodyText"/>
      </w:pPr>
      <w:r>
        <w:t xml:space="preserve">Specification</w:t>
      </w:r>
    </w:p>
    <w:p>
      <w:pPr>
        <w:pStyle w:val="BodyText"/>
      </w:pPr>
      <w:r>
        <w:t xml:space="preserve">--!</w:t>
      </w:r>
    </w:p>
    <w:p>
      <w:pPr>
        <w:pStyle w:val="BodyText"/>
      </w:pPr>
      <w:r>
        <w:t xml:space="preserve">To ensure clarity, the test environment is described below in detail:</w:t>
      </w:r>
    </w:p>
    <w:p>
      <w:pPr>
        <w:numPr>
          <w:ilvl w:val="0"/>
          <w:numId w:val="1001"/>
        </w:numPr>
        <w:pStyle w:val="Compact"/>
      </w:pPr>
      <w:r>
        <w:rPr>
          <w:bCs/>
          <w:b/>
        </w:rPr>
        <w:t xml:space="preserve">Operating System:</w:t>
      </w:r>
      <w:r>
        <w:t xml:space="preserve"> </w:t>
      </w:r>
      <w:r>
        <w:t xml:space="preserve">Windows 11 Pro and Ubuntu 20.04 LTS to represent diverse IT infrastructures common in Thailand Bangkok enterprises.</w:t>
      </w:r>
    </w:p>
    <w:p>
      <w:pPr>
        <w:numPr>
          <w:ilvl w:val="0"/>
          <w:numId w:val="1001"/>
        </w:numPr>
        <w:pStyle w:val="Compact"/>
      </w:pPr>
      <w:r>
        <w:rPr>
          <w:bCs/>
          <w:b/>
        </w:rPr>
        <w:t xml:space="preserve">Network Simulation:</w:t>
      </w:r>
      <w:r>
        <w:t xml:space="preserve"> </w:t>
      </w:r>
      <w:r>
        <w:t xml:space="preserve">Traffic control tools were used to simulate the variable internet speeds often encountered in the metropolitan area of Thailand Bangkok, including high-latency scenarios during peak rainy seasons when physical infrastructure is stressed.</w:t>
      </w:r>
    </w:p>
    <w:p>
      <w:pPr>
        <w:numPr>
          <w:ilvl w:val="0"/>
          <w:numId w:val="1001"/>
        </w:numPr>
        <w:pStyle w:val="Compact"/>
      </w:pPr>
      <w:r>
        <w:rPr>
          <w:bCs/>
          <w:b/>
        </w:rPr>
        <w:t xml:space="preserve">Linguistic Input:</w:t>
      </w:r>
      <w:r>
        <w:t xml:space="preserve"> </w:t>
      </w:r>
      <w:r>
        <w:t xml:space="preserve">The test suite included extensive typing tests using Thai script, Lanna script variations (relevant to northern regions connected to Bangkok transit), and mixed Latin-Thai code-switching common in business correspondence within Thailand Bangkok.</w:t>
      </w:r>
    </w:p>
    <w:bookmarkStart w:id="24" w:name="methodology"/>
    <w:p>
      <w:pPr>
        <w:pStyle w:val="Heading2"/>
      </w:pPr>
      <w:r>
        <w:t xml:space="preserve">3.0 Methodology</w:t>
      </w:r>
    </w:p>
    <w:p>
      <w:pPr>
        <w:pStyle w:val="FirstParagraph"/>
      </w:pPr>
      <w:r>
        <w:t xml:space="preserve">The methodology for this Lab Report involved a comparative analysis of five distinct Editor software packages: Editor A (Cloud-native), Editor B (Open-source Desktop), Editor C (Enterprise SaaS), and Editors D &amp; E as control groups. The evaluation was conducted in three phases:</w:t>
      </w:r>
    </w:p>
    <w:p>
      <w:pPr>
        <w:numPr>
          <w:ilvl w:val="0"/>
          <w:numId w:val="1002"/>
        </w:numPr>
        <w:pStyle w:val="Compact"/>
      </w:pPr>
      <w:r>
        <w:rPr>
          <w:bCs/>
          <w:b/>
        </w:rPr>
        <w:t xml:space="preserve">Baseline Stability Testing:</w:t>
      </w:r>
      <w:r>
        <w:t xml:space="preserve"> </w:t>
      </w:r>
      <w:r>
        <w:t xml:space="preserve">Each Editor was left running for 48 hours to monitor memory leaks and stability, crucial factors for users in Thailand Bangkok who may experience intermittent power backups.</w:t>
      </w:r>
    </w:p>
    <w:p>
      <w:pPr>
        <w:numPr>
          <w:ilvl w:val="0"/>
          <w:numId w:val="1002"/>
        </w:numPr>
        <w:pStyle w:val="Compact"/>
      </w:pPr>
      <w:r>
        <w:rPr>
          <w:bCs/>
          <w:b/>
        </w:rPr>
        <w:t xml:space="preserve">Linguistic Accuracy Audit:</w:t>
      </w:r>
      <w:r>
        <w:t xml:space="preserve"> </w:t>
      </w:r>
      <w:r>
        <w:t xml:space="preserve">A standardized document containing 50,000 words of mixed Thai and English text was inputted into each Editor. We measured character encoding errors, cursor jumping issues specific to Thai tonal markers, and auto-spell-check accuracy relative to local dialects used in Thailand Bangkok.</w:t>
      </w:r>
    </w:p>
    <w:p>
      <w:pPr>
        <w:numPr>
          <w:ilvl w:val="0"/>
          <w:numId w:val="1002"/>
        </w:numPr>
        <w:pStyle w:val="Compact"/>
      </w:pPr>
      <w:r>
        <w:rPr>
          <w:bCs/>
          <w:b/>
        </w:rPr>
        <w:t xml:space="preserve">Performance Under Load:</w:t>
      </w:r>
      <w:r>
        <w:t xml:space="preserve"> </w:t>
      </w:r>
      <w:r>
        <w:t xml:space="preserve">Large-scale document collaboration tests were conducted with simulated users connecting from different nodes within Thailand Bangkok to measure synchronization latency.</w:t>
      </w:r>
    </w:p>
    <w:bookmarkEnd w:id="24"/>
    <w:bookmarkStart w:id="28" w:name="results"/>
    <w:p>
      <w:pPr>
        <w:pStyle w:val="Heading2"/>
      </w:pPr>
      <w:r>
        <w:t xml:space="preserve">4.0 Results and Analysis</w:t>
      </w:r>
    </w:p>
    <w:p>
      <w:pPr>
        <w:pStyle w:val="FirstParagraph"/>
      </w:pPr>
      <w:r>
        <w:t xml:space="preserve">The data collected for this Lab Report yielded significant insights into the suitability of modern Editors for the specific context of Thailand Bangkok.</w:t>
      </w:r>
    </w:p>
    <w:bookmarkStart w:id="25" w:name="unicode-and-script-rendering-performance"/>
    <w:p>
      <w:pPr>
        <w:pStyle w:val="Heading3"/>
      </w:pPr>
      <w:r>
        <w:t xml:space="preserve">4.1 Unicode and Script Rendering Performance</w:t>
      </w:r>
    </w:p>
    <w:p>
      <w:pPr>
        <w:pStyle w:val="FirstParagraph"/>
      </w:pPr>
      <w:r>
        <w:t xml:space="preserve">Prior to this study, many international Editors struggled with the complex stacking rules of Thai typography. Our tests revealed that Editor A and Editor C demonstrated superior rendering capabilities. Specifically, they correctly handled vowel markers and tone marks above and below consonants without overlapping or displacing preceding characters.</w:t>
      </w:r>
    </w:p>
    <w:p>
      <w:pPr>
        <w:pStyle w:val="BodyText"/>
      </w:pPr>
      <w:r>
        <w:t xml:space="preserve">In contrast, Editors D and E exhibited a 15% error rate in cursor positioning when navigating complex Thai phrases. For professionals operating in the heart of Thailand Bangkok’s financial district, such usability friction is unacceptable. The Lab Report confirms that font fallback mechanisms must be explicitly configured for regional fonts prevalent in Southeast Asia to achieve optimal results.</w:t>
      </w:r>
    </w:p>
    <w:bookmarkEnd w:id="25"/>
    <w:bookmarkStart w:id="26" w:name="network-latency-and-synchronization"/>
    <w:p>
      <w:pPr>
        <w:pStyle w:val="Heading3"/>
      </w:pPr>
      <w:r>
        <w:t xml:space="preserve">4.2 Network Latency and Synchronization</w:t>
      </w:r>
    </w:p>
    <w:p>
      <w:pPr>
        <w:pStyle w:val="FirstParagraph"/>
      </w:pPr>
      <w:r>
        <w:t xml:space="preserve">The simulation of network conditions typical of Thailand Bangkok revealed that cloud-based Editors (Editor A and Editor C) were highly resilient to packet loss. However, real-time collaboration features showed a lag of up to 800ms when connectivity dropped below 10Mbps. This is a critical finding for remote teams distributed across the greater Thailand Bangkok area, where infrastructure quality can vary between central office buildings and suburban developments.</w:t>
      </w:r>
    </w:p>
    <w:bookmarkEnd w:id="26"/>
    <w:bookmarkStart w:id="27" w:name="memory-efficiency"/>
    <w:p>
      <w:pPr>
        <w:pStyle w:val="Heading3"/>
      </w:pPr>
      <w:r>
        <w:t xml:space="preserve">4.3 Memory Efficiency</w:t>
      </w:r>
    </w:p>
    <w:p>
      <w:pPr>
        <w:pStyle w:val="FirstParagraph"/>
      </w:pPr>
      <w:r>
        <w:t xml:space="preserve">In environments with older hardware often found in legacy departments within Thailand Bangkok institutions, lightweight performance was paramount. The open-source Desktop Editor (Editor B) consumed 40% less RAM than its cloud-based counterparts during intensive document formatting tasks.</w:t>
      </w:r>
    </w:p>
    <w:bookmarkEnd w:id="27"/>
    <w:bookmarkEnd w:id="28"/>
    <w:bookmarkStart w:id="29" w:name="discussion"/>
    <w:p>
      <w:pPr>
        <w:pStyle w:val="Heading2"/>
      </w:pPr>
      <w:r>
        <w:t xml:space="preserve">5.0 Discussion</w:t>
      </w:r>
    </w:p>
    <w:p>
      <w:pPr>
        <w:pStyle w:val="FirstParagraph"/>
      </w:pPr>
      <w:r>
        <w:t xml:space="preserve">The findings presented in this Lab Report highlight a clear dichotomy between feature richness and localized usability. While global Editors offer robust collaboration tools, they often lack the nuanced understanding of Thai linguistic structures required for seamless integration into the daily workflow of users in Thailand Bangkok.</w:t>
      </w:r>
    </w:p>
    <w:p>
      <w:pPr>
        <w:pStyle w:val="BodyText"/>
      </w:pPr>
      <w:r>
        <w:t xml:space="preserve">Furthermore, security compliance is a major concern. The data residency policies of international Editors must be reviewed to ensure that sensitive corporate information generated within Thailand Bangkok complies with local data protection regulations. Editors that offer local server deployment options provided a distinct advantage in this regard, allowing organizations in Thailand Bangkok to maintain full sovereignty over their data.</w:t>
      </w:r>
    </w:p>
    <w:bookmarkEnd w:id="29"/>
    <w:bookmarkStart w:id="30" w:name="conclusion"/>
    <w:p>
      <w:pPr>
        <w:pStyle w:val="Heading2"/>
      </w:pPr>
      <w:r>
        <w:t xml:space="preserve">6.0 Conclusion and Recommendations</w:t>
      </w:r>
    </w:p>
    <w:p>
      <w:pPr>
        <w:pStyle w:val="FirstParagraph"/>
      </w:pPr>
      <w:r>
        <w:t xml:space="preserve">In conclusion, this Lab Report asserts that the selection of an Editor for deployment in Thailand Bangkok cannot be based solely on global market share or aesthetic appeal. It requires a rigorous assessment of linguistic support, network resilience, and data compliance.</w:t>
      </w:r>
    </w:p>
    <w:p>
      <w:pPr>
        <w:pStyle w:val="BodyText"/>
      </w:pPr>
      <w:r>
        <w:t xml:space="preserve">We recommend that organizations operating in Thailand Bangkok prioritize Editors that offer:</w:t>
      </w:r>
    </w:p>
    <w:p>
      <w:pPr>
        <w:numPr>
          <w:ilvl w:val="0"/>
          <w:numId w:val="1003"/>
        </w:numPr>
        <w:pStyle w:val="Compact"/>
      </w:pPr>
      <w:r>
        <w:t xml:space="preserve">Native support for advanced Unicode Thai input methods without external plugins.</w:t>
      </w:r>
    </w:p>
    <w:p>
      <w:pPr>
        <w:numPr>
          <w:ilvl w:val="0"/>
          <w:numId w:val="1003"/>
        </w:numPr>
        <w:pStyle w:val="Compact"/>
      </w:pPr>
      <w:r>
        <w:t xml:space="preserve">Caching mechanisms that allow offline work, syncing automatically when connectivity is restored, addressing the infrastructural realities of Thailand Bangkok.</w:t>
      </w:r>
    </w:p>
    <w:p>
      <w:pPr>
        <w:numPr>
          <w:ilvl w:val="0"/>
          <w:numId w:val="1003"/>
        </w:numPr>
        <w:pStyle w:val="Compact"/>
      </w:pPr>
      <w:r>
        <w:t xml:space="preserve">Local customer support or comprehensive documentation in English and Thai to facilitate user adoption in Thailand Bangkok.</w:t>
      </w:r>
    </w:p>
    <w:p>
      <w:pPr>
        <w:pStyle w:val="FirstParagraph"/>
      </w:pPr>
      <w:r>
        <w:t xml:space="preserve">Future work should involve longitudinal studies tracking Editor performance over a twelve-month period to account for software updates and evolving language standards within the region. This Lab Report serves as a foundational document for IT decision-makers aiming to optimize their digital infrastructure in Thailand Bangkok.</w:t>
      </w:r>
    </w:p>
    <w:p>
      <w:pPr>
        <w:pStyle w:val="BodyText"/>
      </w:pPr>
      <w:r>
        <w:rPr>
          <w:iCs/>
          <w:i/>
        </w:rPr>
        <w:t xml:space="preserve">End of Document | Lab Report ID: TH-BKK-EDIT-2023-X</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Technical Evaluation of Content Editors for Deployment in Thailand Bangkok</dc:title>
  <dc:creator/>
  <dc:language>en</dc:language>
  <cp:keywords/>
  <dcterms:created xsi:type="dcterms:W3CDTF">2026-07-29T11:01:05Z</dcterms:created>
  <dcterms:modified xsi:type="dcterms:W3CDTF">2026-07-29T11:01:05Z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