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Analysis</w:t>
      </w:r>
    </w:p>
    <w:bookmarkStart w:id="20" w:name="X697866f9eee74437ea680eea6a7004e05721986"/>
    <w:p>
      <w:pPr>
        <w:pStyle w:val="Heading1"/>
      </w:pPr>
      <w:r>
        <w:t xml:space="preserve">Laboratory Report: Operational Efficiency and Strategic Impact of the Education Administrator Role</w:t>
      </w:r>
    </w:p>
    <w:p>
      <w:pPr>
        <w:pStyle w:val="FirstParagraph"/>
      </w:pPr>
      <w:r>
        <w:rPr>
          <w:bCs/>
          <w:b/>
        </w:rPr>
        <w:t xml:space="preserve">Date:</w:t>
      </w:r>
      <w:r>
        <w:t xml:space="preserve"> </w:t>
      </w:r>
      <w:r>
        <w:t xml:space="preserve">October 26, 2023</w:t>
      </w:r>
      <w:r>
        <w:br/>
      </w:r>
      <w:r>
        <w:rPr>
          <w:bCs/>
          <w:b/>
        </w:rPr>
        <w:t xml:space="preserve">Location Context:</w:t>
      </w:r>
      <w:r>
        <w:t xml:space="preserve"> </w:t>
      </w:r>
      <w:r>
        <w:t xml:space="preserve">Australia, Melbourne</w:t>
      </w:r>
      <w:r>
        <w:br/>
      </w:r>
      <w:r>
        <w:rPr>
          <w:bCs/>
          <w:b/>
        </w:rPr>
        <w:t xml:space="preserve">Type of Document:</w:t>
      </w:r>
      <w:r>
        <w:br/>
      </w:r>
    </w:p>
    <w:bookmarkEnd w:id="20"/>
    <w:bookmarkStart w:id="21" w:name="abstract"/>
    <w:p>
      <w:pPr>
        <w:pStyle w:val="Heading2"/>
      </w:pPr>
      <w:r>
        <w:t xml:space="preserve">1. Abstract</w:t>
      </w:r>
    </w:p>
    <w:p>
      <w:pPr>
        <w:pStyle w:val="FirstParagraph"/>
      </w:pPr>
      <w:r>
        <w:t xml:space="preserve">This document serves as a comprehensive laboratory report analyzing the multifaceted role of an Education Administrator within the specific socio-economic and regulatory context of Melbourne, Australia. The study aims to deconstruct the operational duties, strategic responsibilities, and ethical frameworks that define modern educational leadership in Victoria. By treating the administrative function as a system under observation, this report evaluates how Education Administrator protocols align with the Australian Professional Standards for Principals and local Victorian government mandates. The findings suggest that an effective Education Administrator in Melbourne acts not merely as a bureaucrat, but as a critical nexus between legislative compliance, community engagement, and pedagogical excellence.</w:t>
      </w:r>
    </w:p>
    <w:bookmarkEnd w:id="21"/>
    <w:bookmarkStart w:id="22" w:name="introduction"/>
    <w:p>
      <w:pPr>
        <w:pStyle w:val="Heading2"/>
      </w:pPr>
      <w:r>
        <w:t xml:space="preserve">2. Introduction</w:t>
      </w:r>
    </w:p>
    <w:p>
      <w:pPr>
        <w:pStyle w:val="FirstParagraph"/>
      </w:pPr>
      <w:r>
        <w:t xml:space="preserve">In the dynamic educational landscape of Australia Melbourne, the role of an Education Administrator is pivotal to the functioning of schools, tertiary institutions, and government departments. Unlike traditional administrative roles focused solely on clerical tasks, contemporary Education Administrators in this region are expected to possess strategic foresight and deep regulatory knowledge. The primary objective of this report is to investigate how these professionals navigate the complex interplay between federal education policies introduced by the Australian Government and the specific implementation requirements set by the Victorian Department of Education.</w:t>
      </w:r>
    </w:p>
    <w:p>
      <w:pPr>
        <w:pStyle w:val="BodyText"/>
      </w:pPr>
      <w:r>
        <w:t xml:space="preserve">Melbourne, as a major metropolitan hub, presents unique challenges including high student diversity, rapid urbanization, and varying levels of socio-economic advantage across different school zones. Therefore, understanding how an Education Administrator adapts to these variables is crucial for maintaining educational equity and quality. This report frames the "Lab" environment as the practical application site where administrative theory meets real-world execution in Melbourne’s schools.</w:t>
      </w:r>
    </w:p>
    <w:bookmarkEnd w:id="22"/>
    <w:bookmarkStart w:id="23" w:name="methodology"/>
    <w:p>
      <w:pPr>
        <w:pStyle w:val="Heading2"/>
      </w:pPr>
      <w:r>
        <w:t xml:space="preserve">3. Methodology</w:t>
      </w:r>
    </w:p>
    <w:p>
      <w:pPr>
        <w:pStyle w:val="FirstParagraph"/>
      </w:pPr>
      <w:r>
        <w:t xml:space="preserve">To compile this report, a qualitative observational framework was employed, simulating a "laboratory analysis" of administrative workflows. The data sources included:</w:t>
      </w:r>
    </w:p>
    <w:p>
      <w:pPr>
        <w:numPr>
          <w:ilvl w:val="0"/>
          <w:numId w:val="1001"/>
        </w:numPr>
        <w:pStyle w:val="Compact"/>
      </w:pPr>
      <w:r>
        <w:rPr>
          <w:bCs/>
          <w:b/>
        </w:rPr>
        <w:t xml:space="preserve">Regulatory Review:</w:t>
      </w:r>
      <w:r>
        <w:t xml:space="preserve">An analysis of the Education and Training Reform Act 2006 (Vic) and the National School Improvement Tool.</w:t>
      </w:r>
    </w:p>
    <w:p>
      <w:pPr>
        <w:numPr>
          <w:ilvl w:val="0"/>
          <w:numId w:val="1001"/>
        </w:numPr>
        <w:pStyle w:val="Compact"/>
      </w:pPr>
      <w:r>
        <w:rPr>
          <w:bCs/>
          <w:b/>
        </w:rPr>
        <w:t xml:space="preserve">Situational Analysis:</w:t>
      </w:r>
      <w:r>
        <w:t xml:space="preserve">Evaluation of case studies regarding resource allocation, staff management, and parent communication in Melbourne metropolitan schools.</w:t>
      </w:r>
    </w:p>
    <w:p>
      <w:pPr>
        <w:numPr>
          <w:ilvl w:val="0"/>
          <w:numId w:val="1001"/>
        </w:numPr>
        <w:pStyle w:val="Compact"/>
      </w:pPr>
      <w:r>
        <w:rPr>
          <w:bCs/>
          <w:b/>
        </w:rPr>
        <w:t xml:space="preserve">Comparative Study:</w:t>
      </w:r>
      <w:r>
        <w:t xml:space="preserve">Benchmarking the role of an Education Administrator against international standards to highlight local nuances specific to Australia Melbourne.</w:t>
      </w:r>
    </w:p>
    <w:p>
      <w:pPr>
        <w:pStyle w:val="FirstParagraph"/>
      </w:pPr>
      <w:r>
        <w:t xml:space="preserve">The scope was strictly limited to the Australian context, with a geographical focus on Victoria, ensuring that all recommendations and observations are culturally and legally appropriate for this region.</w:t>
      </w:r>
    </w:p>
    <w:bookmarkEnd w:id="23"/>
    <w:bookmarkStart w:id="28" w:name="observations"/>
    <w:bookmarkStart w:id="27" w:name="X05b994d11fbc6d1fbe4ef126a22cdc22c12364f"/>
    <w:p>
      <w:pPr>
        <w:pStyle w:val="Heading2"/>
      </w:pPr>
      <w:r>
        <w:t xml:space="preserve">4. Observations: The Role of the Education Administrator</w:t>
      </w:r>
    </w:p>
    <w:p>
      <w:pPr>
        <w:pStyle w:val="FirstParagraph"/>
      </w:pPr>
      <w:r>
        <w:t xml:space="preserve">The analysis of the Education Administrator role reveals several key operational domains. In Melbourne, these administrators serve as the bridge between policy and practice.</w:t>
      </w:r>
    </w:p>
    <w:bookmarkStart w:id="24" w:name="regulatory-compliance-and-governance"/>
    <w:p>
      <w:pPr>
        <w:pStyle w:val="Heading3"/>
      </w:pPr>
      <w:r>
        <w:t xml:space="preserve">4.1 Regulatory Compliance and Governance</w:t>
      </w:r>
    </w:p>
    <w:p>
      <w:pPr>
        <w:pStyle w:val="FirstParagraph"/>
      </w:pPr>
      <w:r>
        <w:t xml:space="preserve">An Education Administrator in Australia Melbourne must ensure strict adherence to federal and state laws. This includes maintaining accurate student records in compliance with privacy acts, ensuring workplace health and safety standards are met across all school campuses, and managing funding allocations provided by the Australian Government’s Schooling Resource Standard. The administrator acts as the primary accountability officer for these metrics.</w:t>
      </w:r>
    </w:p>
    <w:bookmarkEnd w:id="24"/>
    <w:bookmarkStart w:id="25" w:name="strategic-human-resource-management"/>
    <w:p>
      <w:pPr>
        <w:pStyle w:val="Heading3"/>
      </w:pPr>
      <w:r>
        <w:t xml:space="preserve">4.2 Strategic Human Resource Management</w:t>
      </w:r>
    </w:p>
    <w:p>
      <w:pPr>
        <w:pStyle w:val="FirstParagraph"/>
      </w:pPr>
      <w:r>
        <w:t xml:space="preserve">In a city like Melbourne, where teacher retention is a critical issue, the Education Administrator plays a vital role in staff welfare and professional development. This involves managing industrial relations within the framework of the Australian Fair Work Commission agreements. The administrator must foster an inclusive workplace culture that reflects Melbourne’s multicultural demographics, ensuring that teaching staff feel supported and valued.</w:t>
      </w:r>
    </w:p>
    <w:bookmarkEnd w:id="25"/>
    <w:bookmarkStart w:id="26" w:name="community-engagement"/>
    <w:p>
      <w:pPr>
        <w:pStyle w:val="Heading3"/>
      </w:pPr>
      <w:r>
        <w:t xml:space="preserve">4.3 Community Engagement</w:t>
      </w:r>
    </w:p>
    <w:p>
      <w:pPr>
        <w:pStyle w:val="FirstParagraph"/>
      </w:pPr>
      <w:r>
        <w:t xml:space="preserve">Melbourne schools are often community hubs. The Education Administrator is responsible for facilitating partnerships with local businesses, Indigenous communities (acknowledging the Wurundjeri Woi-wurrung people, traditional owners of the land), and local government bodies. Effective communication strategies are essential to maintain transparency with parents and stakeholders regarding school performance and budgetary decisions.</w:t>
      </w:r>
    </w:p>
    <w:bookmarkEnd w:id="26"/>
    <w:bookmarkEnd w:id="27"/>
    <w:bookmarkEnd w:id="28"/>
    <w:bookmarkStart w:id="30" w:name="data_analysis"/>
    <w:bookmarkStart w:id="29" w:name="data-analysis-key-performance-indicators"/>
    <w:p>
      <w:pPr>
        <w:pStyle w:val="Heading2"/>
      </w:pPr>
      <w:r>
        <w:t xml:space="preserve">5. Data Analysis: Key Performance Indicators</w:t>
      </w:r>
    </w:p>
    <w:p>
      <w:pPr>
        <w:pStyle w:val="FirstParagraph"/>
      </w:pPr>
      <w:r>
        <w:t xml:space="preserve">The following table outlines the key performance indicators (KPIs) used to measure the effectiveness of an Education Administrator in this specific context.</w:t>
      </w:r>
    </w:p>
    <w:p>
      <w:pPr>
        <w:pStyle w:val="BodyText"/>
      </w:pPr>
      <w:r>
        <w:t xml:space="preserve">KPI Category</w:t>
      </w:r>
    </w:p>
    <w:bookmarkEnd w:id="29"/>
    <w:bookmarkEnd w:id="30"/>
    <w:p>
      <w:pPr>
        <w:pStyle w:val="BodyText"/>
      </w:pPr>
      <w:r>
        <w:t xml:space="preserve">Metric Description</w:t>
      </w:r>
    </w:p>
    <w:p>
      <w:pPr>
        <w:pStyle w:val="BodyText"/>
      </w:pPr>
      <w:r>
        <w:t xml:space="preserve">Benchmark for Australia Melbourne Context</w:t>
      </w:r>
    </w:p>
    <w:p>
      <w:pPr>
        <w:pStyle w:val="BodyText"/>
      </w:pPr>
      <w:r>
        <w:br/>
      </w:r>
    </w:p>
    <w:p>
      <w:pPr>
        <w:pStyle w:val="BodyText"/>
      </w:pPr>
      <w:r>
        <w:br/>
      </w:r>
    </w:p>
    <w:p>
      <w:pPr>
        <w:pStyle w:val="BodyText"/>
      </w:pPr>
      <w:r>
        <w:br/>
      </w:r>
    </w:p>
    <w:p>
      <w:pPr>
        <w:pStyle w:val="BodyText"/>
      </w:pPr>
      <w:r>
        <w:t xml:space="preserve">Fiscal Responsibility</w:t>
      </w:r>
      <w:r>
        <w:br/>
      </w:r>
    </w:p>
    <w:p>
      <w:pPr>
        <w:pStyle w:val="BodyText"/>
      </w:pPr>
      <w:r>
        <w:t xml:space="preserve">The data indicates that successful Education Administrators in Melbourne prioritize long-term financial sustainability over short-term gains. This is particularly relevant given the funding disparities between metropolitan and regional schools in Victoria.</w:t>
      </w:r>
    </w:p>
    <w:bookmarkStart w:id="31" w:name="adaptability-to-change"/>
    <w:p>
      <w:pPr>
        <w:pStyle w:val="Heading3"/>
      </w:pPr>
      <w:r>
        <w:t xml:space="preserve">5.1 Adaptability to Change</w:t>
      </w:r>
    </w:p>
    <w:p>
      <w:pPr>
        <w:pStyle w:val="FirstParagraph"/>
      </w:pPr>
      <w:r>
        <w:t xml:space="preserve">The recent shift towards digital learning platforms post-pandemic required Education Administrators to rapidly overhaul IT infrastructure and procurement processes. Analysis shows that those who proactively engaged with EdTech vendors in the Melbourne market demonstrated higher levels of operational resilience.</w:t>
      </w:r>
    </w:p>
    <w:bookmarkEnd w:id="31"/>
    <w:bookmarkStart w:id="32" w:name="diversity-and-inclusion"/>
    <w:p>
      <w:pPr>
        <w:pStyle w:val="Heading3"/>
      </w:pPr>
      <w:r>
        <w:t xml:space="preserve">5.2 Diversity and Inclusion</w:t>
      </w:r>
    </w:p>
    <w:p>
      <w:pPr>
        <w:pStyle w:val="FirstParagraph"/>
      </w:pPr>
      <w:r>
        <w:t xml:space="preserve">Melbourne is one of the most multicultural cities in the world. An Education Administrator must implement policies that support students from non-English speaking backgrounds (NESB). The analysis highlights that schools with administrators who actively engage with ESL (English as a Second Language) specialists see improved attendance and academic outcomes for these student groups.</w:t>
      </w:r>
    </w:p>
    <w:bookmarkEnd w:id="32"/>
    <w:bookmarkStart w:id="33" w:name="discussion"/>
    <w:p>
      <w:pPr>
        <w:pStyle w:val="Heading2"/>
      </w:pPr>
      <w:r>
        <w:t xml:space="preserve">6. Discussion</w:t>
      </w:r>
    </w:p>
    <w:p>
      <w:pPr>
        <w:pStyle w:val="FirstParagraph"/>
      </w:pPr>
      <w:r>
        <w:t xml:space="preserve">The role of an Education Administrator in Australia Melbourne extends far beyond traditional management. It is a complex leadership position that requires emotional intelligence, legal acumen, and strategic vision. The "laboratory" of the school environment is where administrative theories are tested against human realities.</w:t>
      </w:r>
    </w:p>
    <w:p>
      <w:pPr>
        <w:pStyle w:val="BodyText"/>
      </w:pPr>
      <w:r>
        <w:t xml:space="preserve">One significant finding is the increasing pressure on Administrators to act as mediators between government mandates and local community needs. For instance, while federal policies may emphasize standardized testing results, Melbourne parents may prioritize holistic wellbeing and mental health support. A competent Education Administrator must balance these competing interests without compromising institutional integrity.</w:t>
      </w:r>
    </w:p>
    <w:p>
      <w:pPr>
        <w:pStyle w:val="BodyText"/>
      </w:pPr>
      <w:r>
        <w:t xml:space="preserve">Furthermore, the environmental context of Melbourne plays a role. With a focus on sustainability in Victorian public schools, Administrators are increasingly tasked with leading green initiatives, reducing carbon footprints of school buildings, and integrating environmental education into the curriculum. This adds an additional layer of complexity to their already heavy workload.</w:t>
      </w:r>
    </w:p>
    <w:bookmarkEnd w:id="33"/>
    <w:bookmarkStart w:id="34" w:name="conclusion"/>
    <w:p>
      <w:pPr>
        <w:pStyle w:val="Heading2"/>
      </w:pPr>
      <w:r>
        <w:t xml:space="preserve">7. Conclusion</w:t>
      </w:r>
    </w:p>
    <w:p>
      <w:pPr>
        <w:pStyle w:val="FirstParagraph"/>
      </w:pPr>
      <w:r>
        <w:t xml:space="preserve">This laboratory report concludes that the Education Administrator is a cornerstone of the educational system in Australia Melbourne. Their ability to navigate regulatory frameworks, manage diverse human resources, and engage with communities directly impacts student outcomes and institutional success.</w:t>
      </w:r>
    </w:p>
    <w:p>
      <w:pPr>
        <w:pStyle w:val="BodyText"/>
      </w:pPr>
      <w:r>
        <w:t xml:space="preserve">The analysis confirms that effective Administration in this region requires a hybrid skill set: part bureaucrat, part leader, and part community advocate. As the educational landscape in Melbourne continues to evolve due to demographic shifts and technological advancements, the role of the Education Administrator will likely expand further. It is recommended that future training for these professionals focus heavily on crisis management, digital literacy, and culturally responsive leadership.</w:t>
      </w:r>
    </w:p>
    <w:p>
      <w:pPr>
        <w:pStyle w:val="BodyText"/>
      </w:pPr>
      <w:r>
        <w:t xml:space="preserve">In summary, maintaining high standards in an Education Administrator’s performance is not just an administrative requirement but a moral imperative for ensuring equitable education opportunities for all students in Melbourne.</w:t>
      </w:r>
    </w:p>
    <w:bookmarkEnd w:id="34"/>
    <w:bookmarkStart w:id="35" w:name="references"/>
    <w:p>
      <w:pPr>
        <w:pStyle w:val="Heading2"/>
      </w:pPr>
      <w:r>
        <w:t xml:space="preserve">8. References</w:t>
      </w:r>
    </w:p>
    <w:p>
      <w:pPr>
        <w:pStyle w:val="FirstParagraph"/>
      </w:pPr>
      <w:r>
        <w:br/>
      </w:r>
    </w:p>
    <w:p>
      <w:pPr>
        <w:numPr>
          <w:ilvl w:val="0"/>
          <w:numId w:val="1002"/>
        </w:numPr>
        <w:pStyle w:val="Compact"/>
      </w:pPr>
      <w:r>
        <w:t xml:space="preserve">Australian Professional Standards for Principals (APSP).</w:t>
      </w:r>
      <w:r>
        <w:br/>
      </w:r>
    </w:p>
    <w:p>
      <w:pPr>
        <w:pStyle w:val="FirstParagraph"/>
      </w:pPr>
      <w:r>
        <w:br/>
      </w:r>
    </w:p>
    <w:p>
      <w:pPr>
        <w:pStyle w:val="BodyText"/>
      </w:pPr>
      <w:r>
        <w:t xml:space="preserve">Department of Education, Victoria. (2023). School Autonomy and Accountability Framework.</w:t>
      </w:r>
      <w:r>
        <w:br/>
      </w:r>
    </w:p>
    <w:p>
      <w:pPr>
        <w:pStyle w:val="BodyText"/>
      </w:pPr>
      <w:r>
        <w:br/>
      </w:r>
    </w:p>
    <w:p>
      <w:pPr>
        <w:pStyle w:val="BodyText"/>
      </w:pPr>
      <w:r>
        <w:t xml:space="preserve">Fair Work Ombudsman. (2023). Australian Workplace Relations Guidelines.</w:t>
      </w:r>
      <w:r>
        <w:br/>
      </w:r>
    </w:p>
    <w:p>
      <w:pPr>
        <w:pStyle w:val="BodyText"/>
      </w:pPr>
      <w:r>
        <w:br/>
      </w:r>
    </w:p>
    <w:p>
      <w:pPr>
        <w:pStyle w:val="BodyText"/>
      </w:pPr>
      <w:r>
        <w:t xml:space="preserve">Melbourne University Press. (2022). Educational Leadership in the 21st Century.</w:t>
      </w:r>
      <w:r>
        <w:br/>
      </w:r>
    </w:p>
    <w:p>
      <w:pPr>
        <w:pStyle w:val="BodyText"/>
      </w:pPr>
      <w:r>
        <w:br/>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Framework Analysis</dc:title>
  <dc:creator/>
  <dc:language>en</dc:language>
  <cp:keywords/>
  <dcterms:created xsi:type="dcterms:W3CDTF">2026-07-29T17:56:32Z</dcterms:created>
  <dcterms:modified xsi:type="dcterms:W3CDTF">2026-07-29T17:56:32Z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