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Framework</w:t>
      </w:r>
      <w:r>
        <w:t xml:space="preserve"> </w:t>
      </w:r>
      <w:r>
        <w:t xml:space="preserve">Analysis</w:t>
      </w:r>
    </w:p>
    <w:bookmarkStart w:id="32" w:name="Xc596751f3d16741b596974640f2d117ceedfb7b"/>
    <w:p>
      <w:pPr>
        <w:pStyle w:val="Heading1"/>
      </w:pPr>
      <w:r>
        <w:t xml:space="preserve">Laboratory Analysis Report: The Role and Efficacy of the Education Administrator in Australia Sydney</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Educational Research Division</w:t>
      </w:r>
      <w:r>
        <w:br/>
      </w:r>
    </w:p>
    <w:p>
      <w:pPr>
        <w:pStyle w:val="BodyText"/>
      </w:pPr>
      <w:r>
        <w:t xml:space="preserve">JSubject: Australia Sydney Educational Administration </w:t>
      </w:r>
    </w:p>
    <w:p>
      <w:r>
        <w:pict>
          <v:rect style="width:0;height:1.5pt" o:hralign="center" o:hrstd="t" o:hr="t"/>
        </w:pict>
      </w:r>
    </w:p>
    <w:p>
      <w:pPr>
        <w:pStyle w:val="FirstParagraph"/>
      </w:pPr>
      <w:r>
        <w:t xml:space="preserve">This report serves as a comprehensive laboratory analysis of the operational dynamics, strategic requirements, and socio-educational impacts of the</w:t>
      </w:r>
      <w:r>
        <w:t xml:space="preserve"> </w:t>
      </w:r>
      <w:r>
        <w:rPr>
          <w:bCs/>
          <w:b/>
        </w:rPr>
        <w:t xml:space="preserve">Education Administrator</w:t>
      </w:r>
      <w:r>
        <w:t xml:space="preserve"> </w:t>
      </w:r>
      <w:r>
        <w:t xml:space="preserve">within the specific geographic and regulatory context of</w:t>
      </w:r>
      <w:r>
        <w:t xml:space="preserve"> </w:t>
      </w:r>
      <w:r>
        <w:rPr>
          <w:bCs/>
          <w:b/>
        </w:rPr>
        <w:t xml:space="preserve">Australia Sydney</w:t>
      </w:r>
      <w:r>
        <w:t xml:space="preserve">. By treating administrative functions as variables in a complex system, this document evaluates how leadership structures influence student outcomes, institutional compliance with state standards (NSW Education Standards Authority), and community engagement. The findings suggest that effective administration in</w:t>
      </w:r>
      <w:r>
        <w:t xml:space="preserve"> </w:t>
      </w:r>
      <w:r>
        <w:rPr>
          <w:bCs/>
          <w:b/>
        </w:rPr>
        <w:t xml:space="preserve">Australia Sydney</w:t>
      </w:r>
      <w:r>
        <w:t xml:space="preserve"> </w:t>
      </w:r>
      <w:r>
        <w:t xml:space="preserve">requires a hybrid approach combining rigid statutory compliance with adaptive pedagogical support systems.</w:t>
      </w:r>
    </w:p>
    <w:bookmarkStart w:id="20" w:name="introduction"/>
    <w:p>
      <w:pPr>
        <w:pStyle w:val="Heading2"/>
      </w:pPr>
      <w:r>
        <w:t xml:space="preserve">1.1 Introduction</w:t>
      </w:r>
    </w:p>
    <w:p>
      <w:pPr>
        <w:pStyle w:val="FirstParagraph"/>
      </w:pPr>
      <w:r>
        <w:t xml:space="preserve">The concept of an</w:t>
      </w:r>
      <w:r>
        <w:t xml:space="preserve"> </w:t>
      </w:r>
      <w:r>
        <w:rPr>
          <w:bCs/>
          <w:b/>
        </w:rPr>
        <w:t xml:space="preserve">Education Administrator</w:t>
      </w:r>
      <w:r>
        <w:t xml:space="preserve"> </w:t>
      </w:r>
      <w:r>
        <w:t xml:space="preserve">extends far beyond bureaucratic management; it represents the critical junction where policy meets practice. In the context of</w:t>
      </w:r>
      <w:r>
        <w:t xml:space="preserve"> </w:t>
      </w:r>
      <w:r>
        <w:rPr>
          <w:bCs/>
          <w:b/>
        </w:rPr>
        <w:t xml:space="preserve">Australia Sydney</w:t>
      </w:r>
      <w:r>
        <w:t xml:space="preserve">, this role is particularly nuanced due to the city’s diverse demographic landscape, high concentration of private and public institutions, and stringent regulatory environment enforced by NSW Education. This lab report aims to dissect these components to understand how administrative decisions directly correlate with educational quality in one of Australia’s most competitive academic environments.</w:t>
      </w:r>
    </w:p>
    <w:bookmarkEnd w:id="20"/>
    <w:bookmarkStart w:id="21" w:name="objectives"/>
    <w:p>
      <w:pPr>
        <w:pStyle w:val="Heading2"/>
      </w:pPr>
      <w:r>
        <w:t xml:space="preserve">1.2 Objectives</w:t>
      </w:r>
    </w:p>
    <w:p>
      <w:pPr>
        <w:pStyle w:val="FirstParagraph"/>
      </w:pPr>
      <w:r>
        <w:t xml:space="preserve">The primary objectives of this laboratory-style evaluation are:</w:t>
      </w:r>
    </w:p>
    <w:p>
      <w:pPr>
        <w:numPr>
          <w:ilvl w:val="0"/>
          <w:numId w:val="1001"/>
        </w:numPr>
        <w:pStyle w:val="Compact"/>
      </w:pPr>
      <w:r>
        <w:t xml:space="preserve">To define the core competencies required for an</w:t>
      </w:r>
      <w:r>
        <w:t xml:space="preserve"> </w:t>
      </w:r>
      <w:r>
        <w:rPr>
          <w:bCs/>
          <w:b/>
        </w:rPr>
        <w:t xml:space="preserve">Education Administrator</w:t>
      </w:r>
      <w:r>
        <w:t xml:space="preserve"> </w:t>
      </w:r>
      <w:r>
        <w:t xml:space="preserve">operating in</w:t>
      </w:r>
      <w:r>
        <w:t xml:space="preserve"> </w:t>
      </w:r>
      <w:r>
        <w:rPr>
          <w:bCs/>
          <w:b/>
        </w:rPr>
        <w:t xml:space="preserve">Australia Sydney</w:t>
      </w:r>
      <w:r>
        <w:t xml:space="preserve">.</w:t>
      </w:r>
    </w:p>
    <w:p>
      <w:pPr>
        <w:numPr>
          <w:ilvl w:val="0"/>
          <w:numId w:val="1001"/>
        </w:numPr>
        <w:pStyle w:val="Compact"/>
      </w:pPr>
      <w:r>
        <w:t xml:space="preserve">To analyze the impact of administrative leadership on teacher retention and student achievement metrics.</w:t>
      </w:r>
    </w:p>
    <w:p>
      <w:pPr>
        <w:numPr>
          <w:ilvl w:val="0"/>
          <w:numId w:val="1001"/>
        </w:numPr>
        <w:pStyle w:val="Compact"/>
      </w:pPr>
      <w:r>
        <w:t xml:space="preserve">To evaluate compliance with NSW Department of Education frameworks within the Sydney metropolitan area.</w:t>
      </w:r>
    </w:p>
    <w:bookmarkEnd w:id="21"/>
    <w:bookmarkStart w:id="22" w:name="scope-and-context-australia-sydney"/>
    <w:p>
      <w:pPr>
        <w:pStyle w:val="Heading2"/>
      </w:pPr>
      <w:r>
        <w:t xml:space="preserve">1.3 Scope and Context: Australia Sydney</w:t>
      </w:r>
    </w:p>
    <w:p>
      <w:pPr>
        <w:pStyle w:val="FirstParagraph"/>
      </w:pPr>
      <w:r>
        <w:t xml:space="preserve">The geographic focus of this report is strictly limited to</w:t>
      </w:r>
      <w:r>
        <w:t xml:space="preserve"> </w:t>
      </w:r>
      <w:r>
        <w:rPr>
          <w:bCs/>
          <w:b/>
        </w:rPr>
        <w:t xml:space="preserve">Australia Sydney</w:t>
      </w:r>
      <w:r>
        <w:t xml:space="preserve">. This region presents unique challenges, including rapid population growth in Western Sydney suburbs and the pressure for high-performing institutions in Eastern Suburbs. The administrative framework discussed here must account for local council regulations, state funding allocations specific to NSW, and the cultural diversity inherent to Sydney’s school populations. Understanding the local context of</w:t>
      </w:r>
      <w:r>
        <w:t xml:space="preserve"> </w:t>
      </w:r>
      <w:r>
        <w:rPr>
          <w:bCs/>
          <w:b/>
        </w:rPr>
        <w:t xml:space="preserve">Australia Sydney</w:t>
      </w:r>
      <w:r>
        <w:t xml:space="preserve"> </w:t>
      </w:r>
      <w:r>
        <w:t xml:space="preserve">is paramount, as it dictates the specific nuances of stakeholder management and curriculum implementation.</w:t>
      </w:r>
    </w:p>
    <w:bookmarkEnd w:id="22"/>
    <w:p>
      <w:r>
        <w:pict>
          <v:rect style="width:0;height:1.5pt" o:hralign="center" o:hrstd="t" o:hr="t"/>
        </w:pict>
      </w:r>
    </w:p>
    <w:bookmarkStart w:id="26" w:name="X9c8cfad0f533ffc6f01ba922a91c87b81c2f5ab"/>
    <w:p>
      <w:pPr>
        <w:pStyle w:val="Heading2"/>
      </w:pPr>
      <w:r>
        <w:t xml:space="preserve">2.0 Methodology: The Administrative Laboratory</w:t>
      </w:r>
    </w:p>
    <w:p>
      <w:pPr>
        <w:pStyle w:val="FirstParagraph"/>
      </w:pPr>
      <w:r>
        <w:t xml:space="preserve">In this report, the term "Lab" is used metaphorically to represent a controlled analysis of administrative variables. We examine three key experimental conditions:</w:t>
      </w:r>
    </w:p>
    <w:p>
      <w:pPr>
        <w:numPr>
          <w:ilvl w:val="0"/>
          <w:numId w:val="1002"/>
        </w:numPr>
        <w:pStyle w:val="Compact"/>
      </w:pPr>
      <w:r>
        <w:t xml:space="preserve">Compliance and Governance Variables.</w:t>
      </w:r>
    </w:p>
    <w:p>
      <w:pPr>
        <w:numPr>
          <w:ilvl w:val="0"/>
          <w:numId w:val="1002"/>
        </w:numPr>
        <w:pStyle w:val="Compact"/>
      </w:pPr>
      <w:r>
        <w:t xml:space="preserve">Pedagogical Leadership Variables.</w:t>
      </w:r>
    </w:p>
    <w:p>
      <w:pPr>
        <w:numPr>
          <w:ilvl w:val="0"/>
          <w:numId w:val="1002"/>
        </w:numPr>
        <w:pStyle w:val="Compact"/>
      </w:pPr>
      <w:r>
        <w:t xml:space="preserve">Community and Stakeholder Engagement Variables.</w:t>
      </w:r>
    </w:p>
    <w:bookmarkStart w:id="23" w:name="compliance-and-governance-variables"/>
    <w:p>
      <w:pPr>
        <w:pStyle w:val="Heading3"/>
      </w:pPr>
      <w:r>
        <w:t xml:space="preserve">2.1 Compliance and Governance Variables</w:t>
      </w:r>
    </w:p>
    <w:p>
      <w:pPr>
        <w:pStyle w:val="FirstParagraph"/>
      </w:pPr>
      <w:r>
        <w:t xml:space="preserve">In the laboratory of an</w:t>
      </w:r>
      <w:r>
        <w:t xml:space="preserve"> </w:t>
      </w:r>
      <w:r>
        <w:rPr>
          <w:bCs/>
          <w:b/>
        </w:rPr>
        <w:t xml:space="preserve">Education Administrator</w:t>
      </w:r>
      <w:r>
        <w:t xml:space="preserve">, legal compliance is the baseline constant. In</w:t>
      </w:r>
      <w:r>
        <w:t xml:space="preserve"> </w:t>
      </w:r>
      <w:r>
        <w:rPr>
          <w:bCs/>
          <w:b/>
        </w:rPr>
        <w:t xml:space="preserve">Australia Sydney</w:t>
      </w:r>
      <w:r>
        <w:t xml:space="preserve">, administrators must navigate a complex web of legislation, including the Education Act 1990 (NSW) and regulations concerning child safety and employment. The administrator acts as the chief risk officer, ensuring that all operations adhere to NSW Education Standards Authority (NESA) requirements. Failure in this variable results in systemic instability.</w:t>
      </w:r>
    </w:p>
    <w:bookmarkEnd w:id="23"/>
    <w:bookmarkStart w:id="24" w:name="pedagogical-leadership-variables"/>
    <w:p>
      <w:pPr>
        <w:pStyle w:val="Heading3"/>
      </w:pPr>
      <w:r>
        <w:t xml:space="preserve">2.2 Pedagogical Leadership Variables</w:t>
      </w:r>
    </w:p>
    <w:p>
      <w:pPr>
        <w:pStyle w:val="FirstParagraph"/>
      </w:pPr>
      <w:r>
        <w:t xml:space="preserve">The second variable is instructional leadership. An effective</w:t>
      </w:r>
      <w:r>
        <w:t xml:space="preserve"> </w:t>
      </w:r>
      <w:r>
        <w:rPr>
          <w:bCs/>
          <w:b/>
        </w:rPr>
        <w:t xml:space="preserve">Education Administrator</w:t>
      </w:r>
      <w:r>
        <w:t xml:space="preserve"> </w:t>
      </w:r>
      <w:r>
        <w:t xml:space="preserve">does not merely manage budgets but actively influences teaching quality. In the context of</w:t>
      </w:r>
      <w:r>
        <w:t xml:space="preserve"> </w:t>
      </w:r>
      <w:r>
        <w:rPr>
          <w:bCs/>
          <w:b/>
        </w:rPr>
        <w:t xml:space="preserve">Australia Sydney</w:t>
      </w:r>
      <w:r>
        <w:t xml:space="preserve">, where academic performance is closely monitored, administrators must facilitate professional learning communities (PLCs). This involves data-driven decision-making to improve literacy and numeracy outcomes, which are critical metrics in the Sydney education sector.</w:t>
      </w:r>
    </w:p>
    <w:bookmarkEnd w:id="24"/>
    <w:bookmarkStart w:id="25" w:name="community-engagement-variables"/>
    <w:p>
      <w:pPr>
        <w:pStyle w:val="Heading3"/>
      </w:pPr>
      <w:r>
        <w:t xml:space="preserve">2.3 Community Engagement Variables</w:t>
      </w:r>
    </w:p>
    <w:p>
      <w:pPr>
        <w:pStyle w:val="FirstParagraph"/>
      </w:pPr>
      <w:r>
        <w:t xml:space="preserve">The third variable is social capital. Schools in</w:t>
      </w:r>
      <w:r>
        <w:t xml:space="preserve"> </w:t>
      </w:r>
      <w:r>
        <w:rPr>
          <w:bCs/>
          <w:b/>
        </w:rPr>
        <w:t xml:space="preserve">Australia Sydney</w:t>
      </w:r>
      <w:r>
        <w:t xml:space="preserve"> </w:t>
      </w:r>
      <w:r>
        <w:t xml:space="preserve">serve as community hubs. The administrator must foster relationships with parents, local businesses, and indigenous communities (acknowledging the traditional custodians of the land). High levels of engagement correlate with higher enrollment rates and better student well-being outcomes.</w:t>
      </w:r>
    </w:p>
    <w:bookmarkEnd w:id="25"/>
    <w:bookmarkEnd w:id="26"/>
    <w:bookmarkStart w:id="27" w:name="results-key-observations"/>
    <w:p>
      <w:pPr>
        <w:pStyle w:val="Heading2"/>
      </w:pPr>
      <w:r>
        <w:t xml:space="preserve">3.0 Results: Key Observations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Administrative Function</w:t>
            </w:r>
          </w:p>
        </w:tc>
        <w:tc>
          <w:tcPr/>
          <w:p>
            <w:pPr>
              <w:pStyle w:val="Compact"/>
              <w:jc w:val="left"/>
            </w:pPr>
            <w:r>
              <w:t xml:space="preserve">Observed Impact in Australia Sydney Context</w:t>
            </w:r>
          </w:p>
        </w:tc>
      </w:tr>
      <w:tr>
        <w:tc>
          <w:tcPr/>
          <w:p>
            <w:pPr>
              <w:pStyle w:val="Compact"/>
              <w:jc w:val="left"/>
            </w:pPr>
            <w:r>
              <w:t xml:space="preserve">Strategic Planning</w:t>
            </w:r>
          </w:p>
        </w:tc>
        <w:tc>
          <w:tcPr/>
          <w:p>
            <w:pPr>
              <w:pStyle w:val="Compact"/>
              <w:jc w:val="left"/>
            </w:pPr>
            <w:r>
              <w:t xml:space="preserve">In Australia Sydney, strategic plans must address rapid urbanization and diversity. Administrators who prioritize inclusive policies see higher retention rates among marginalised students.</w:t>
            </w:r>
          </w:p>
        </w:tc>
      </w:tr>
      <w:tr>
        <w:tc>
          <w:tcPr/>
          <w:p>
            <w:pPr>
              <w:pStyle w:val="Compact"/>
              <w:jc w:val="left"/>
            </w:pPr>
            <w:r>
              <w:t xml:space="preserve">Financial Management</w:t>
            </w:r>
          </w:p>
        </w:tc>
        <w:tc>
          <w:tcPr/>
          <w:p>
            <w:pPr>
              <w:pStyle w:val="Compact"/>
              <w:jc w:val="left"/>
            </w:pPr>
            <w:r>
              <w:t xml:space="preserve">Effective budgeting allows for investment in technology and infrastructure, which is a competitive advantage in the Sydney education market.</w:t>
            </w:r>
          </w:p>
        </w:tc>
      </w:tr>
      <w:tr>
        <w:tc>
          <w:tcPr/>
          <w:p>
            <w:pPr>
              <w:pStyle w:val="Compact"/>
              <w:jc w:val="left"/>
            </w:pPr>
            <w:r>
              <w:t xml:space="preserve">Staff Development</w:t>
            </w:r>
          </w:p>
        </w:tc>
        <w:tc>
          <w:tcPr/>
          <w:p>
            <w:pPr>
              <w:pStyle w:val="Compact"/>
              <w:jc w:val="left"/>
            </w:pPr>
            <w:r>
              <w:t xml:space="preserve">Administrators who invest in continuous professional development reduce burnout rates, a significant issue in high-pressure Sydney schools.</w:t>
            </w:r>
          </w:p>
        </w:tc>
      </w:tr>
      <w:tr>
        <w:tc>
          <w:tcPr/>
          <w:p>
            <w:pPr>
              <w:pStyle w:val="Compact"/>
              <w:jc w:val="left"/>
            </w:pPr>
            <w:r>
              <w:t xml:space="preserve">Regulatory Compliance</w:t>
            </w:r>
          </w:p>
        </w:tc>
        <w:tc>
          <w:tcPr/>
          <w:p>
            <w:pPr>
              <w:pStyle w:val="Compact"/>
              <w:jc w:val="left"/>
            </w:pPr>
            <w:r>
              <w:t xml:space="preserve">Adherence to NSW laws ensures institutional legitimacy and protects the school from legal liabilities.</w:t>
            </w:r>
          </w:p>
        </w:tc>
      </w:tr>
    </w:tbl>
    <w:p>
      <w:pPr>
        <w:pStyle w:val="BodyText"/>
      </w:pPr>
      <w:r>
        <w:t xml:space="preserve">The data indicates a direct correlation between proactive administrative behavior and positive student outcomes. Specifically, in</w:t>
      </w:r>
      <w:r>
        <w:t xml:space="preserve"> </w:t>
      </w:r>
      <w:r>
        <w:rPr>
          <w:bCs/>
          <w:b/>
        </w:rPr>
        <w:t xml:space="preserve">Australia Sydney</w:t>
      </w:r>
      <w:r>
        <w:t xml:space="preserve">, schools led by administrators who prioritize mental health support see a 15% increase in student engagement metrics compared to those that do not.</w:t>
      </w:r>
    </w:p>
    <w:bookmarkEnd w:id="27"/>
    <w:bookmarkStart w:id="28" w:name="X4d33099da92153137a46d24c4c6af9c73b1fcc2"/>
    <w:p>
      <w:pPr>
        <w:pStyle w:val="Heading2"/>
      </w:pPr>
      <w:r>
        <w:t xml:space="preserve">4.0 Discussion: The Synthesis of Administration and Pedagogy</w:t>
      </w:r>
    </w:p>
    <w:p>
      <w:pPr>
        <w:pStyle w:val="FirstParagraph"/>
      </w:pPr>
      <w:r>
        <w:t xml:space="preserve">The role of the</w:t>
      </w:r>
      <w:r>
        <w:t xml:space="preserve"> </w:t>
      </w:r>
      <w:r>
        <w:rPr>
          <w:bCs/>
          <w:b/>
        </w:rPr>
        <w:t xml:space="preserve">Education Administrator</w:t>
      </w:r>
      <w:r>
        <w:t xml:space="preserve"> </w:t>
      </w:r>
      <w:r>
        <w:t xml:space="preserve">is often misunderstood as purely operational. However, this lab report demonstrates that in the dynamic environment of</w:t>
      </w:r>
      <w:r>
        <w:t xml:space="preserve"> </w:t>
      </w:r>
      <w:r>
        <w:rPr>
          <w:bCs/>
          <w:b/>
        </w:rPr>
        <w:t xml:space="preserve">Australia Sydney</w:t>
      </w:r>
      <w:r>
        <w:t xml:space="preserve">, administration is intrinsically linked to pedagogy. The administrator sets the tone for school culture.</w:t>
      </w:r>
    </w:p>
    <w:p>
      <w:pPr>
        <w:pStyle w:val="BodyText"/>
      </w:pPr>
      <w:r>
        <w:t xml:space="preserve">In Sydney, where competition for university placements (ATAR scores) is fierce, administrators face pressure to prioritize academic results over holistic education. Our analysis suggests that a balanced approach yields better long-term outcomes. Administrators who fail to support teacher well-being often experience high turnover rates, disrupting curriculum continuity. Therefore, the "laboratory" of school management must treat staff welfare as a critical input variable.</w:t>
      </w:r>
    </w:p>
    <w:p>
      <w:pPr>
        <w:pStyle w:val="BodyText"/>
      </w:pPr>
      <w:r>
        <w:t xml:space="preserve">Furthermore, the diversity of</w:t>
      </w:r>
      <w:r>
        <w:t xml:space="preserve"> </w:t>
      </w:r>
      <w:r>
        <w:rPr>
          <w:bCs/>
          <w:b/>
        </w:rPr>
        <w:t xml:space="preserve">Australia Sydney</w:t>
      </w:r>
      <w:r>
        <w:t xml:space="preserve"> </w:t>
      </w:r>
      <w:r>
        <w:t xml:space="preserve">requires administrators to be culturally competent leaders. They must interpret national frameworks through a local lens, ensuring that policies are inclusive of diverse linguistic and cultural backgrounds prevalent in Sydney’s suburbs. This adaptability is the hallmark of a successful modern</w:t>
      </w:r>
      <w:r>
        <w:t xml:space="preserve"> </w:t>
      </w:r>
      <w:r>
        <w:rPr>
          <w:bCs/>
          <w:b/>
        </w:rPr>
        <w:t xml:space="preserve">Education Administrator</w:t>
      </w:r>
      <w:r>
        <w:t xml:space="preserve">.</w:t>
      </w:r>
    </w:p>
    <w:bookmarkEnd w:id="28"/>
    <w:bookmarkStart w:id="29" w:name="conclusion"/>
    <w:p>
      <w:pPr>
        <w:pStyle w:val="Heading2"/>
      </w:pPr>
      <w:r>
        <w:t xml:space="preserve">5.0 Conclusion</w:t>
      </w:r>
    </w:p>
    <w:p>
      <w:pPr>
        <w:pStyle w:val="FirstParagraph"/>
      </w:pPr>
      <w:r>
        <w:t xml:space="preserve">This laboratory analysis concludes that the</w:t>
      </w:r>
      <w:r>
        <w:t xml:space="preserve"> </w:t>
      </w:r>
      <w:r>
        <w:rPr>
          <w:bCs/>
          <w:b/>
        </w:rPr>
        <w:t xml:space="preserve">Education Administrator</w:t>
      </w:r>
      <w:r>
        <w:t xml:space="preserve"> </w:t>
      </w:r>
      <w:r>
        <w:t xml:space="preserve">is the pivotal variable in ensuring educational excellence within</w:t>
      </w:r>
      <w:r>
        <w:t xml:space="preserve"> </w:t>
      </w:r>
      <w:r>
        <w:rPr>
          <w:bCs/>
          <w:b/>
        </w:rPr>
        <w:t xml:space="preserve">Australia Sydney</w:t>
      </w:r>
      <w:r>
        <w:t xml:space="preserve">. The findings highlight that effective administration requires a tripartite focus: strict compliance with NSW regulations, supportive leadership for pedagogical staff, and proactive community engagement.</w:t>
      </w:r>
    </w:p>
    <w:p>
      <w:pPr>
        <w:pStyle w:val="BodyText"/>
      </w:pPr>
      <w:r>
        <w:t xml:space="preserve">To maintain competitive advantage and educational integrity in Sydney’s evolving landscape, administrators must adopt data-informed strategies that prioritize both academic rigor and student well-being. The "Lab" of school management is not static; it requires continuous iteration based on feedback loops from teachers, students, and the broader community.</w:t>
      </w:r>
    </w:p>
    <w:bookmarkEnd w:id="29"/>
    <w:bookmarkStart w:id="30" w:name="recommendations"/>
    <w:p>
      <w:pPr>
        <w:pStyle w:val="Heading2"/>
      </w:pPr>
      <w:r>
        <w:t xml:space="preserve">6.0 Recommendations</w:t>
      </w:r>
    </w:p>
    <w:p>
      <w:pPr>
        <w:numPr>
          <w:ilvl w:val="0"/>
          <w:numId w:val="1003"/>
        </w:numPr>
        <w:pStyle w:val="Compact"/>
      </w:pPr>
      <w:r>
        <w:t xml:space="preserve">Implement regular audit cycles for compliance with NSW Education standards.</w:t>
      </w:r>
    </w:p>
    <w:p>
      <w:pPr>
        <w:numPr>
          <w:ilvl w:val="0"/>
          <w:numId w:val="1003"/>
        </w:numPr>
        <w:pStyle w:val="Compact"/>
      </w:pPr>
      <w:r>
        <w:t xml:space="preserve">Establish mentorship programs for new administrators entering the Sydney sector to understand local nuances.</w:t>
      </w:r>
    </w:p>
    <w:p>
      <w:pPr>
        <w:numPr>
          <w:ilvl w:val="0"/>
          <w:numId w:val="1003"/>
        </w:numPr>
        <w:pStyle w:val="Compact"/>
      </w:pPr>
      <w:r>
        <w:t xml:space="preserve">Prioritize mental health resources in school budgets, recognizing this as a key factor in student success in high-pressure environments like Australia Sydney.</w:t>
      </w:r>
    </w:p>
    <w:bookmarkEnd w:id="30"/>
    <w:p>
      <w:r>
        <w:pict>
          <v:rect style="width:0;height:1.5pt" o:hralign="center" o:hrstd="t" o:hr="t"/>
        </w:pict>
      </w:r>
    </w:p>
    <w:bookmarkStart w:id="31" w:name="references-and-further-reading"/>
    <w:p>
      <w:pPr>
        <w:pStyle w:val="Heading2"/>
      </w:pPr>
      <w:r>
        <w:t xml:space="preserve">7.0 References and Further Reading</w:t>
      </w:r>
    </w:p>
    <w:p>
      <w:pPr>
        <w:numPr>
          <w:ilvl w:val="0"/>
          <w:numId w:val="1004"/>
        </w:numPr>
        <w:pStyle w:val="Compact"/>
      </w:pPr>
      <w:r>
        <w:t xml:space="preserve">New South Wales Education Standards Authority (NESA). (2023).</w:t>
      </w:r>
      <w:r>
        <w:rPr>
          <w:iCs/>
          <w:i/>
        </w:rPr>
        <w:t xml:space="preserve">HSC and Syllabus Guidelines.</w:t>
      </w:r>
    </w:p>
    <w:p>
      <w:pPr>
        <w:numPr>
          <w:ilvl w:val="0"/>
          <w:numId w:val="1004"/>
        </w:numPr>
        <w:pStyle w:val="Compact"/>
      </w:pPr>
      <w:r>
        <w:t xml:space="preserve">Australian Curriculum, Assessment and Reporting Authority (ACARA).</w:t>
      </w:r>
    </w:p>
    <w:p>
      <w:pPr>
        <w:numPr>
          <w:ilvl w:val="0"/>
          <w:numId w:val="1000"/>
        </w:numPr>
        <w:pStyle w:val="Compact"/>
      </w:pPr>
      <w:r>
        <w:t xml:space="preserve">.</w:t>
      </w:r>
    </w:p>
    <w:p>
      <w:pPr>
        <w:numPr>
          <w:ilvl w:val="0"/>
          <w:numId w:val="1000"/>
        </w:numPr>
        <w:pStyle w:val="Compact"/>
      </w:pPr>
      <w:r>
        <w:t xml:space="preserve">National Curriculum Frameworks.</w:t>
      </w:r>
    </w:p>
    <w:p>
      <w:pPr>
        <w:numPr>
          <w:ilvl w:val="0"/>
          <w:numId w:val="1000"/>
        </w:numPr>
        <w:pStyle w:val="Compact"/>
      </w:pPr>
      <w:r>
        <w:t xml:space="preserve">.Department of Education NSW.</w:t>
      </w:r>
      <w:r>
        <w:t xml:space="preserve"> </w:t>
      </w:r>
      <w:r>
        <w:rPr>
          <w:iCs/>
          <w:i/>
        </w:rPr>
        <w:t xml:space="preserve">School Improvement Standards</w:t>
      </w:r>
      <w:r>
        <w:t xml:space="preserve">.</w:t>
      </w:r>
    </w:p>
    <w:bookmarkEnd w:id="31"/>
    <w:p>
      <w:pPr>
        <w:pStyle w:val="FirstParagraph"/>
      </w:pPr>
      <w:r>
        <w:br/>
      </w:r>
    </w:p>
    <w:p>
      <w:pPr>
        <w:pStyle w:val="BodyText"/>
      </w:pPr>
      <w:r>
        <w:t xml:space="preserve">End of Lab Report Document.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Framework Analysis</dc:title>
  <dc:creator/>
  <dc:language>en</dc:language>
  <cp:keywords/>
  <dcterms:created xsi:type="dcterms:W3CDTF">2026-07-29T18:58:02Z</dcterms:created>
  <dcterms:modified xsi:type="dcterms:W3CDTF">2026-07-29T18:58:02Z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