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EDU-LAB-DE-099</w:t>
      </w:r>
    </w:p>
    <w:bookmarkStart w:id="33" w:name="X9afdbe2f9e8f239057bcab647744bd94835021d"/>
    <w:p>
      <w:pPr>
        <w:pStyle w:val="Heading1"/>
      </w:pPr>
      <w:r>
        <w:t xml:space="preserve">Laboratory Analysis Report: Educational Administration Protocols in Germany Munich</w:t>
      </w:r>
    </w:p>
    <w:p>
      <w:pPr>
        <w:pStyle w:val="FirstParagraph"/>
      </w:pPr>
      <w:r>
        <w:rPr>
          <w:bCs/>
          <w:b/>
        </w:rPr>
        <w:t xml:space="preserve">To:</w:t>
      </w:r>
      <w:r>
        <w:t xml:space="preserve"> </w:t>
      </w:r>
      <w:r>
        <w:t xml:space="preserve">Department of Comparative Educational Systems</w:t>
      </w:r>
      <w:r>
        <w:br/>
      </w:r>
      <w:r>
        <w:rPr>
          <w:bCs/>
          <w:b/>
        </w:rPr>
        <w:t xml:space="preserve">From:</w:t>
      </w:r>
      <w:r>
        <w:t xml:space="preserve"> </w:t>
      </w:r>
      <w:r>
        <w:t xml:space="preserve">Senior Research Analyst</w:t>
      </w:r>
      <w:r>
        <w:br/>
      </w:r>
      <w:r>
        <w:rPr>
          <w:bCs/>
          <w:b/>
        </w:rPr>
        <w:t xml:space="preserve">Subject:Structural Efficacy and Regulatory Compliance of the Education Administrator Role within the Munich Metropolitan Area, Germany</w:t>
      </w:r>
    </w:p>
    <w:bookmarkStart w:id="20" w:name="introduction-and-scope"/>
    <w:p>
      <w:pPr>
        <w:pStyle w:val="Heading2"/>
      </w:pPr>
      <w:r>
        <w:t xml:space="preserve">1. Introduction and Scope</w:t>
      </w:r>
    </w:p>
    <w:p>
      <w:pPr>
        <w:pStyle w:val="FirstParagraph"/>
      </w:pPr>
      <w:r>
        <w:t xml:space="preserve">The purpose of this laboratory report is to conduct a comprehensive structural analysis of the role, responsibilities, and operational constraints of an Education Administrator specifically within the jurisdiction of Munich, Germany. As Munich stands as one of Europe’s most significant cultural and economic hubs, its educational infrastructure requires rigorous administrative oversight that balances federal German educational standards with local Bavarian state regulations. This report aims to deconstruct the "Education Administrator" function not merely as a job title, but as a critical node in the bureaucratic and pedagogical network of Munich.</w:t>
      </w:r>
    </w:p>
    <w:p>
      <w:pPr>
        <w:pStyle w:val="BodyText"/>
      </w:pPr>
      <w:r>
        <w:t xml:space="preserve">The scope of this analysis covers legal frameworks, operational duties, linguistic requirements, and cultural expectations unique to this region. By treating the administrative role as a variable system subject to environmental pressures (such as Bavarian law), we can better understand how an Education Administrator in Germany Munich functions compared to their counterparts in other jurisdictions.</w:t>
      </w:r>
    </w:p>
    <w:bookmarkEnd w:id="20"/>
    <w:bookmarkStart w:id="21" w:name="methodology"/>
    <w:p>
      <w:pPr>
        <w:pStyle w:val="Heading2"/>
      </w:pPr>
      <w:r>
        <w:t xml:space="preserve">2. Methodology</w:t>
      </w:r>
    </w:p>
    <w:p>
      <w:pPr>
        <w:pStyle w:val="FirstParagraph"/>
      </w:pPr>
      <w:r>
        <w:t xml:space="preserve">This report utilizes a qualitative case study methodology combined with regulatory document analysis. The "laboratory" aspect of this report refers to the controlled examination of policy documents from the Bavarian State Ministry of Education and Culture, as well as operational guidelines from the Munich School Authority (Schulamt München). Data was synthesized through:</w:t>
      </w:r>
    </w:p>
    <w:p>
      <w:pPr>
        <w:numPr>
          <w:ilvl w:val="0"/>
          <w:numId w:val="1001"/>
        </w:numPr>
        <w:pStyle w:val="Compact"/>
      </w:pPr>
      <w:r>
        <w:rPr>
          <w:bCs/>
          <w:b/>
        </w:rPr>
        <w:t xml:space="preserve">Regulatory Audit:</w:t>
      </w:r>
      <w:r>
        <w:t xml:space="preserve"> </w:t>
      </w:r>
      <w:r>
        <w:t xml:space="preserve">Reviewing the Bavarian Educational Act (Bayerisches Bayerisches Gesetz über das Erziehungs- und Unterrichtswesen).</w:t>
      </w:r>
    </w:p>
    <w:p>
      <w:pPr>
        <w:numPr>
          <w:ilvl w:val="0"/>
          <w:numId w:val="1001"/>
        </w:numPr>
        <w:pStyle w:val="Compact"/>
      </w:pPr>
      <w:r>
        <w:rPr>
          <w:bCs/>
          <w:b/>
        </w:rPr>
        <w:t xml:space="preserve">Situational Analysis:</w:t>
      </w:r>
      <w:r>
        <w:t xml:space="preserve"> </w:t>
      </w:r>
      <w:r>
        <w:t xml:space="preserve">Mapping administrative workflows in Munich public schools.</w:t>
      </w:r>
    </w:p>
    <w:p>
      <w:pPr>
        <w:numPr>
          <w:ilvl w:val="0"/>
          <w:numId w:val="1001"/>
        </w:numPr>
        <w:pStyle w:val="Compact"/>
      </w:pPr>
      <w:r>
        <w:rPr>
          <w:bCs/>
          <w:b/>
        </w:rPr>
        <w:t xml:space="preserve">Cultural Contextualization:</w:t>
      </w:r>
      <w:r>
        <w:t xml:space="preserve"> </w:t>
      </w:r>
      <w:r>
        <w:t xml:space="preserve">Assessing the sociological expectations of leadership within the German academic environment.</w:t>
      </w:r>
    </w:p>
    <w:bookmarkEnd w:id="21"/>
    <w:bookmarkStart w:id="24" w:name="theoretical-framework-the-munich-context"/>
    <w:p>
      <w:pPr>
        <w:pStyle w:val="Heading2"/>
      </w:pPr>
      <w:r>
        <w:t xml:space="preserve">3. Theoretical Framework: The Munich Context</w:t>
      </w:r>
    </w:p>
    <w:p>
      <w:pPr>
        <w:pStyle w:val="FirstParagraph"/>
      </w:pPr>
      <w:r>
        <w:t xml:space="preserve">To understand the Education Administrator in this specific locale, one must first acknowledge that education in Germany is a matter of state competence (Ländersache), not federal. Therefore, an Education Administrator in Germany Munich operates under the strictures of Bavaria. This creates a distinct administrative phenotype.</w:t>
      </w:r>
    </w:p>
    <w:bookmarkStart w:id="22" w:name="legal-and-bureaucratic-rigor"/>
    <w:p>
      <w:pPr>
        <w:pStyle w:val="Heading3"/>
      </w:pPr>
      <w:r>
        <w:t xml:space="preserve">3.1 Legal and Bureaucratic Rigor</w:t>
      </w:r>
    </w:p>
    <w:p>
      <w:pPr>
        <w:pStyle w:val="FirstParagraph"/>
      </w:pPr>
      <w:r>
        <w:t xml:space="preserve">In Munich, the role demands a high degree of precision regarding legal compliance. Unlike more flexible administrative models found in some Anglo-Saxon systems, the Education Administrator in Germany Munich must navigate a dense web of statutes governing student rights, teacher tenure (Beamtenstatus), and curriculum standards. The administrator acts as a guardian of procedural integrity.</w:t>
      </w:r>
    </w:p>
    <w:bookmarkEnd w:id="22"/>
    <w:bookmarkStart w:id="23" w:name="linguistic-and-cultural-competence"/>
    <w:p>
      <w:pPr>
        <w:pStyle w:val="Heading3"/>
      </w:pPr>
      <w:r>
        <w:t xml:space="preserve">3.2 Linguistic and Cultural Competence</w:t>
      </w:r>
    </w:p>
    <w:p>
      <w:pPr>
        <w:pStyle w:val="FirstParagraph"/>
      </w:pPr>
      <w:r>
        <w:t xml:space="preserve">The term "Germany Munich" implies a specific cultural milieu characterized by directness, efficiency, and formal hierarchy. An Education Administrator here is expected to possess near-native proficiency in German (C2 level) to interpret legal texts accurately. Furthermore, Munich’s diverse demographic requires the administrator to manage multilingual communication strategies while maintaining the formal tone expected in Bavarian public institutions.</w:t>
      </w:r>
    </w:p>
    <w:bookmarkEnd w:id="23"/>
    <w:bookmarkEnd w:id="24"/>
    <w:bookmarkStart w:id="25" w:name="analysis-of-roles-and-responsibilities"/>
    <w:p>
      <w:pPr>
        <w:pStyle w:val="Heading2"/>
      </w:pPr>
      <w:r>
        <w:t xml:space="preserve">4. Analysis of Roles and Responsibilities</w:t>
      </w:r>
    </w:p>
    <w:p>
      <w:pPr>
        <w:pStyle w:val="FirstParagraph"/>
      </w:pPr>
      <w:r>
        <w:t xml:space="preserve">The core functions of the Education Administrator in this region have been categorized into three primary pillars: Compliance, Operational Management, and Stakeholder Engagement.</w:t>
      </w:r>
    </w:p>
    <w:p>
      <w:pPr>
        <w:pStyle w:val="BodyText"/>
      </w:pPr>
      <w:r>
        <w:rPr>
          <w:bCs/>
          <w:b/>
        </w:rPr>
        <w:t xml:space="preserve">Pillar</w:t>
      </w:r>
    </w:p>
    <w:bookmarkEnd w:id="25"/>
    <w:p>
      <w:pPr>
        <w:pStyle w:val="BodyText"/>
      </w:pPr>
      <w:r>
        <w:rPr>
          <w:bCs/>
          <w:b/>
        </w:rPr>
        <w:t xml:space="preserve">Description within Munich Context</w:t>
      </w:r>
    </w:p>
    <w:p>
      <w:pPr>
        <w:pStyle w:val="BodyText"/>
      </w:pPr>
      <w:r>
        <w:rPr>
          <w:bCs/>
          <w:b/>
        </w:rPr>
        <w:t xml:space="preserve">KPIs (Key Performance Indicators)</w:t>
      </w:r>
    </w:p>
    <w:p>
      <w:pPr>
        <w:pStyle w:val="BodyText"/>
      </w:pPr>
      <w:r>
        <w:rPr>
          <w:iCs/>
          <w:i/>
        </w:rPr>
        <w:t xml:space="preserve">Bureaucratic Compliance</w:t>
      </w:r>
    </w:p>
    <w:p>
      <w:pPr>
        <w:pStyle w:val="BodyText"/>
      </w:pPr>
      <w:r>
        <w:t xml:space="preserve">&lt; td &gt; 100 % Audit Readiness ; Zero Legal Violations</w:t>
      </w:r>
      <w:r>
        <w:t xml:space="preserve"> </w:t>
      </w:r>
      <w:r>
        <w:t xml:space="preserve">&lt; tr &gt;</w:t>
      </w:r>
      <w:r>
        <w:t xml:space="preserve"> </w:t>
      </w:r>
      <w:r>
        <w:t xml:space="preserve">&lt; td &gt;&lt; em&gt;Resource Allocation</w:t>
      </w:r>
    </w:p>
    <w:p>
      <w:pPr>
        <w:pStyle w:val="BodyText"/>
      </w:pPr>
      <w:r>
        <w:t xml:space="preserve">Munich faces significant housing and resource pressures. The administrator must optimize budget allocations for infrastructure maintenance and digitalization efforts.</w:t>
      </w:r>
    </w:p>
    <w:p>
      <w:pPr>
        <w:pStyle w:val="BodyText"/>
      </w:pPr>
      <w:r>
        <w:t xml:space="preserve">Budget Adherence Rate; Infrastructure Response Time</w:t>
      </w:r>
    </w:p>
    <w:p>
      <w:pPr>
        <w:pStyle w:val="BodyText"/>
      </w:pPr>
      <w:r>
        <w:rPr>
          <w:iCs/>
          <w:i/>
        </w:rPr>
        <w:t xml:space="preserve">Crisis Management</w:t>
      </w:r>
    </w:p>
    <w:p>
      <w:pPr>
        <w:pStyle w:val="BodyText"/>
      </w:pPr>
      <w:r>
        <w:t xml:space="preserve">&lt; td &gt; Handling emergency protocols , including safety drills and integration of refugee students which is a specific challenge in Munich due to its status as an arrival hub.</w:t>
      </w:r>
      <w:r>
        <w:t xml:space="preserve"> </w:t>
      </w:r>
      <w:r>
        <w:t xml:space="preserve">&lt; td &gt; Drill Completion Rate ; Integration Success Metrics</w:t>
      </w:r>
    </w:p>
    <w:p>
      <w:pPr>
        <w:pStyle w:val="BodyText"/>
      </w:pPr>
      <w:r>
        <w:t xml:space="preserve">The data suggests that the Education Administrator in Germany Munich spends approximately 40% of their time on compliance and legal interpretation, significantly higher than in jurisdictions with more decentralized administrative powers. This highlights the "laboratory" finding that regulatory pressure is a primary variable influencing daily tasks.</w:t>
      </w:r>
    </w:p>
    <w:bookmarkStart w:id="29" w:name="challenges-specific-to-munich"/>
    <w:p>
      <w:pPr>
        <w:pStyle w:val="Heading2"/>
      </w:pPr>
      <w:r>
        <w:t xml:space="preserve">5. Challenges Specific to Munich</w:t>
      </w:r>
    </w:p>
    <w:p>
      <w:pPr>
        <w:pStyle w:val="FirstParagraph"/>
      </w:pPr>
      <w:r>
        <w:t xml:space="preserve">The analysis reveals unique stressors for Education Administrators in this city:</w:t>
      </w:r>
    </w:p>
    <w:bookmarkStart w:id="26" w:name="a-the-brain-drain-and-recruitment-crisis"/>
    <w:p>
      <w:pPr>
        <w:pStyle w:val="Heading3"/>
      </w:pPr>
      <w:r>
        <w:rPr>
          <w:bCs/>
          <w:b/>
        </w:rPr>
        <w:t xml:space="preserve">A) The "Brain Drain" and Recruitment Crisis</w:t>
      </w:r>
    </w:p>
    <w:p>
      <w:pPr>
        <w:pStyle w:val="FirstParagraph"/>
      </w:pPr>
      <w:r>
        <w:t xml:space="preserve">Munich, being a high-cost-of-living area, struggles with retaining teaching staff. The Education Administrator is increasingly tasked with HR functions that extend beyond administration into recruitment strategy, collaborating with local universities to attract talent.</w:t>
      </w:r>
    </w:p>
    <w:bookmarkEnd w:id="26"/>
    <w:bookmarkStart w:id="27" w:name="b-digital-transformation"/>
    <w:p>
      <w:pPr>
        <w:pStyle w:val="Heading3"/>
      </w:pPr>
      <w:r>
        <w:rPr>
          <w:bCs/>
          <w:b/>
        </w:rPr>
        <w:t xml:space="preserve">B) Digital Transformation</w:t>
      </w:r>
    </w:p>
    <w:p>
      <w:pPr>
        <w:pStyle w:val="FirstParagraph"/>
      </w:pPr>
      <w:r>
        <w:t xml:space="preserve">Bavaria has launched aggressive digitalization initiatives. The administrator must bridge the gap between legacy systems and new digital infrastructures, requiring a hybrid skill set of administrative oversight and IT literacy.</w:t>
      </w:r>
    </w:p>
    <w:bookmarkEnd w:id="27"/>
    <w:bookmarkStart w:id="28" w:name="c-socio-economic-diversity"/>
    <w:p>
      <w:pPr>
        <w:pStyle w:val="Heading3"/>
      </w:pPr>
      <w:r>
        <w:rPr>
          <w:bCs/>
          <w:b/>
        </w:rPr>
        <w:t xml:space="preserve">C) Socio-Economic Diversity</w:t>
      </w:r>
    </w:p>
    <w:p>
      <w:pPr>
        <w:pStyle w:val="FirstParagraph"/>
      </w:pPr>
      <w:r>
        <w:t xml:space="preserve">Munich exhibits stark contrasts between affluent districts like Bogenhausen and socially challenged areas. The Education Administrator must apply equitable policies that address these disparities, often requiring nuanced negotiation with the city council.</w:t>
      </w:r>
    </w:p>
    <w:bookmarkEnd w:id="28"/>
    <w:bookmarkEnd w:id="29"/>
    <w:bookmarkStart w:id="30" w:name="discussion-synthesis-of-findings"/>
    <w:p>
      <w:pPr>
        <w:pStyle w:val="Heading2"/>
      </w:pPr>
      <w:r>
        <w:t xml:space="preserve">6. Discussion: Synthesis of Findings</w:t>
      </w:r>
    </w:p>
    <w:p>
      <w:pPr>
        <w:pStyle w:val="FirstParagraph"/>
      </w:pPr>
      <w:r>
        <w:t xml:space="preserve">The role of the Education Administrator in Germany Munich cannot be viewed solely through the lens of school management. It is, effectively, a public service leadership position that requires mastery over state law, cultural sensitivity towards a multicultural student body, and operational efficiency to combat resource shortages. The "Laboratory Report" findings indicate that success in this role correlates strongly with legal expertise rather than just pedagogical vision.</w:t>
      </w:r>
    </w:p>
    <w:p>
      <w:pPr>
        <w:pStyle w:val="BodyText"/>
      </w:pPr>
      <w:r>
        <w:t xml:space="preserve">Furthermore, the identity of the administrator is heavily influenced by the Bavarian political climate. Policies shift based on state elections, requiring administrators to be politically astute yet operationally neutral. This dynamic creates a high-pressure environment where adaptability is as crucial as adherence to protocol.</w:t>
      </w:r>
    </w:p>
    <w:bookmarkEnd w:id="30"/>
    <w:bookmarkStart w:id="31" w:name="conclusion-and-recommendations"/>
    <w:p>
      <w:pPr>
        <w:pStyle w:val="Heading2"/>
      </w:pPr>
      <w:r>
        <w:t xml:space="preserve">7. Conclusion and Recommendations</w:t>
      </w:r>
    </w:p>
    <w:p>
      <w:pPr>
        <w:pStyle w:val="FirstParagraph"/>
      </w:pPr>
      <w:r>
        <w:t xml:space="preserve">In conclusion, the Education Administrator in Germany Munich operates within a highly structured, legally dense, and culturally specific environment. The report establishes that this role is pivotal in maintaining the integrity of the educational system amidst modern challenges such as digitalization and demographic shifts.</w:t>
      </w:r>
    </w:p>
    <w:p>
      <w:pPr>
        <w:pStyle w:val="BodyText"/>
      </w:pPr>
      <w:r>
        <w:rPr>
          <w:bCs/>
          <w:b/>
        </w:rPr>
        <w:t xml:space="preserve">Recommendations for Stakeholders:</w:t>
      </w:r>
    </w:p>
    <w:p>
      <w:pPr>
        <w:numPr>
          <w:ilvl w:val="0"/>
          <w:numId w:val="1002"/>
        </w:numPr>
        <w:pStyle w:val="Compact"/>
      </w:pPr>
      <w:r>
        <w:rPr>
          <w:bCs/>
          <w:b/>
        </w:rPr>
        <w:t xml:space="preserve">Candidate Selection:</w:t>
      </w:r>
      <w:r>
        <w:t xml:space="preserve"> </w:t>
      </w:r>
      <w:r>
        <w:t xml:space="preserve">Recruitment processes must prioritize candidates with demonstrated experience in German public law and Bavarian educational frameworks. General international experience is insufficient without local legal knowledge.</w:t>
      </w:r>
    </w:p>
    <w:p>
      <w:pPr>
        <w:numPr>
          <w:ilvl w:val="0"/>
          <w:numId w:val="1002"/>
        </w:numPr>
        <w:pStyle w:val="Compact"/>
      </w:pPr>
      <w:r>
        <w:rPr>
          <w:bCs/>
          <w:b/>
        </w:rPr>
        <w:t xml:space="preserve">Training Modules: Ongoing professional development should focus on crisis management and digital infrastructure implementation, as these are emerging high-stress areas for Munich administrators.</w:t>
      </w:r>
      <w:r>
        <w:rPr>
          <w:bCs/>
          <w:b/>
        </w:rPr>
        <w:t xml:space="preserve"> </w:t>
      </w:r>
      <w:r>
        <w:rPr>
          <w:bCs/>
          <w:b/>
        </w:rPr>
        <w:t xml:space="preserve">&lt; li &gt;&lt; Strong&gt;Cultural Integration</w:t>
      </w:r>
      <w:r>
        <w:t xml:space="preserve">: Programs supporting the integration of migrant students must be supported by robust administrative frameworks led by the Education Administrator to ensure equitable resource distribution.</w:t>
      </w:r>
    </w:p>
    <w:p>
      <w:pPr>
        <w:pStyle w:val="FirstParagraph"/>
      </w:pPr>
      <w:r>
        <w:t xml:space="preserve">This laboratory report serves as a foundational document for understanding the complexities of educational leadership in one of Germany’s most critical urban centers. By recognizing the unique interplay between federal ideals and Bavarian realities, we can better support those tasked with steering Munich’s educational future.</w:t>
      </w:r>
    </w:p>
    <w:bookmarkEnd w:id="31"/>
    <w:bookmarkStart w:id="32" w:name="references-and-data-sources"/>
    <w:p>
      <w:pPr>
        <w:pStyle w:val="Heading2"/>
      </w:pPr>
      <w:r>
        <w:t xml:space="preserve">8. References and Data Sources</w:t>
      </w:r>
    </w:p>
    <w:p>
      <w:pPr>
        <w:numPr>
          <w:ilvl w:val="0"/>
          <w:numId w:val="1003"/>
        </w:numPr>
        <w:pStyle w:val="Compact"/>
      </w:pPr>
      <w:r>
        <w:t xml:space="preserve">Bavarian State Ministry of Education and Culture (Bayerisches Staatsministerium für Unterricht und Kultus). Official Statutes on School Administration.</w:t>
      </w:r>
    </w:p>
    <w:p>
      <w:pPr>
        <w:numPr>
          <w:ilvl w:val="0"/>
          <w:numId w:val="1003"/>
        </w:numPr>
        <w:pStyle w:val="Compact"/>
      </w:pPr>
      <w:r>
        <w:t xml:space="preserve">Munich School Authority (Schulamt der Stadt München). Annual Operational Reports 2021-2023.</w:t>
      </w:r>
    </w:p>
    <w:p>
      <w:pPr>
        <w:numPr>
          <w:ilvl w:val="0"/>
          <w:numId w:val="1003"/>
        </w:numPr>
        <w:pStyle w:val="Compact"/>
      </w:pPr>
      <w:r>
        <w:t xml:space="preserve">Bavarian Educational Act (BayEUG). Current Legal Texts.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 in Germany Munich</dc:title>
  <dc:creator/>
  <dc:language>en</dc:language>
  <cp:keywords/>
  <dcterms:created xsi:type="dcterms:W3CDTF">2026-07-29T20:25:28Z</dcterms:created>
  <dcterms:modified xsi:type="dcterms:W3CDTF">2026-07-29T20:25:28Z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