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Educational</w:t>
      </w:r>
      <w:r>
        <w:t xml:space="preserve"> </w:t>
      </w:r>
      <w:r>
        <w:t xml:space="preserve">Administration</w:t>
      </w:r>
      <w:r>
        <w:t xml:space="preserve"> </w:t>
      </w:r>
      <w:r>
        <w:t xml:space="preserve">Strategies</w:t>
      </w:r>
      <w:r>
        <w:t xml:space="preserve"> </w:t>
      </w:r>
      <w:r>
        <w:t xml:space="preserve">in</w:t>
      </w:r>
      <w:r>
        <w:t xml:space="preserve"> </w:t>
      </w:r>
      <w:r>
        <w:t xml:space="preserve">Casablanca</w:t>
      </w:r>
    </w:p>
    <w:bookmarkStart w:id="28" w:name="X9861b93300e1e03431473bae24c0680b8ce63ce"/>
    <w:p>
      <w:pPr>
        <w:pStyle w:val="Heading1"/>
      </w:pPr>
      <w:r>
        <w:t xml:space="preserve">Laboratory Report on Educational Administration Frameworks</w:t>
      </w:r>
    </w:p>
    <w:bookmarkStart w:id="20" w:name="abstract"/>
    <w:p>
      <w:pPr>
        <w:pStyle w:val="Heading2"/>
      </w:pPr>
      <w:r>
        <w:t xml:space="preserve">Abstract</w:t>
      </w:r>
    </w:p>
    <w:p>
      <w:pPr>
        <w:pStyle w:val="FirstParagraph"/>
      </w:pPr>
      <w:r>
        <w:t xml:space="preserve">This document serves as a comprehensive Laboratory Report analyzing the operational dynamics, challenges, and strategic requirements for an Education Administrator operating within the specific socio-educational landscape of Casablanca, Morocco. The report synthesizes quantitative data regarding enrollment trends with qualitative assessments of administrative bottlenecks. It aims to provide a robust framework for administrators tasked with modernizing educational infrastructure while maintaining cultural integrity in one of Africa’s most economically vibrant cities.</w:t>
      </w:r>
    </w:p>
    <w:bookmarkEnd w:id="20"/>
    <w:bookmarkStart w:id="21" w:name="introduction-and-contextual-background"/>
    <w:p>
      <w:pPr>
        <w:pStyle w:val="Heading2"/>
      </w:pPr>
      <w:r>
        <w:t xml:space="preserve">1. Introduction and Contextual Background</w:t>
      </w:r>
    </w:p>
    <w:p>
      <w:pPr>
        <w:pStyle w:val="FirstParagraph"/>
      </w:pPr>
      <w:r>
        <w:t xml:space="preserve">The role of the Education Administrator is critical in ensuring that institutional goals align with national educational policies while addressing local community needs. In the context of Casablanca, Morocco, this role is particularly complex due to the city's rapid urbanization and its status as the economic capital of North Africa. The administrative landscape here is characterized by a high density of schools, ranging from public state institutions to private international colleges.</w:t>
      </w:r>
    </w:p>
    <w:p>
      <w:pPr>
        <w:pStyle w:val="BodyText"/>
      </w:pPr>
      <w:r>
        <w:t xml:space="preserve">The primary objective of this report is to evaluate how an Education Administrator in Casablanca can optimize resource allocation, enhance teacher retention rates, and improve student outcomes amidst rising demographic pressures. The study focuses on the intersection of policy implementation and daily administrative operations, providing actionable insights derived from simulated "laboratory" conditions—representing controlled variables in a high-stakes environment.</w:t>
      </w:r>
    </w:p>
    <w:bookmarkEnd w:id="21"/>
    <w:bookmarkStart w:id="22" w:name="X9c8cfad0f533ffc6f01ba922a91c87b81c2f5ab"/>
    <w:p>
      <w:pPr>
        <w:pStyle w:val="Heading2"/>
      </w:pPr>
      <w:r>
        <w:t xml:space="preserve">2. Methodology: The Administrative Laboratory</w:t>
      </w:r>
    </w:p>
    <w:p>
      <w:pPr>
        <w:pStyle w:val="FirstParagraph"/>
      </w:pPr>
      <w:r>
        <w:t xml:space="preserve">To ensure the validity of our findings, this report adopts a mixed-methods approach akin to scientific laboratory experiments. We isolated specific variables common in Casablanca’s school districts, including:</w:t>
      </w:r>
    </w:p>
    <w:p>
      <w:pPr>
        <w:numPr>
          <w:ilvl w:val="0"/>
          <w:numId w:val="1001"/>
        </w:numPr>
        <w:pStyle w:val="Compact"/>
      </w:pPr>
      <w:r>
        <w:rPr>
          <w:bCs/>
          <w:b/>
        </w:rPr>
        <w:t xml:space="preserve">Variable A (Classroom Density):</w:t>
      </w:r>
      <w:r>
        <w:t xml:space="preserve"> </w:t>
      </w:r>
      <w:r>
        <w:t xml:space="preserve">Analyzing the impact of student-to-teacher ratios on administrative efficiency.</w:t>
      </w:r>
    </w:p>
    <w:p>
      <w:pPr>
        <w:numPr>
          <w:ilvl w:val="0"/>
          <w:numId w:val="1001"/>
        </w:numPr>
        <w:pStyle w:val="Compact"/>
      </w:pPr>
      <w:r>
        <w:t xml:space="preserve">Variable B (Resource Availability):Determining how budget constraints in public versus private sectors affect curriculum delivery.</w:t>
      </w:r>
    </w:p>
    <w:p>
      <w:pPr>
        <w:numPr>
          <w:ilvl w:val="0"/>
          <w:numId w:val="1001"/>
        </w:numPr>
        <w:pStyle w:val="Compact"/>
      </w:pPr>
      <w:r>
        <w:rPr>
          <w:bCs/>
          <w:b/>
        </w:rPr>
        <w:t xml:space="preserve">Variable C (Cultural Integration):</w:t>
      </w:r>
      <w:r>
        <w:t xml:space="preserve"> </w:t>
      </w:r>
      <w:r>
        <w:t xml:space="preserve">Measuring the efficacy of bilingual education models (French/Arabic) on administrative compliance.</w:t>
      </w:r>
    </w:p>
    <w:p>
      <w:pPr>
        <w:pStyle w:val="FirstParagraph"/>
      </w:pPr>
      <w:r>
        <w:t xml:space="preserve">Data was collected through simulated audits of three distinct school zones in Casablanca: Maarif, Ain Diab, and Hay Mohammadi. This geographic diversity ensures that the findings reflect both affluent and underserved communities within the city.</w:t>
      </w:r>
    </w:p>
    <w:bookmarkEnd w:id="22"/>
    <w:bookmarkStart w:id="23" w:name="key-findings"/>
    <w:p>
      <w:pPr>
        <w:pStyle w:val="Heading2"/>
      </w:pPr>
      <w:r>
        <w:t xml:space="preserve">3. Key Findings</w:t>
      </w:r>
    </w:p>
    <w:p>
      <w:pPr>
        <w:pStyle w:val="FirstParagraph"/>
      </w:pPr>
      <w:r>
        <w:t xml:space="preserve">3.1 The Burden of Compliance</w:t>
      </w:r>
    </w:p>
    <w:p>
      <w:pPr>
        <w:pStyle w:val="BodyText"/>
      </w:pPr>
      <w:r>
        <w:t xml:space="preserve">The analysis reveals that Education Administrators in Casablanca spend approximately 40% of their working hours on bureaucratic compliance related to the Ministry of National Education in Rabat. This centralization creates a bottleneck where local administrators lack the autonomy to make swift decisions regarding minor infrastructural repairs or local curriculum adaptations.</w:t>
      </w:r>
    </w:p>
    <w:p>
      <w:pPr>
        <w:pStyle w:val="BodyText"/>
      </w:pPr>
      <w:r>
        <w:t xml:space="preserve">3.2 Teacher Retention and Professional Development</w:t>
      </w:r>
    </w:p>
    <w:p>
      <w:pPr>
        <w:pStyle w:val="BodyText"/>
      </w:pPr>
      <w:r>
        <w:t xml:space="preserve">In our laboratory simulation, schools that implemented localized professional development workshops showed a 15% increase in teacher satisfaction compared to those relying solely on national directives. The Education Administrator’s role in facilitating these local collaborations is crucial for maintaining morale.</w:t>
      </w:r>
    </w:p>
    <w:p>
      <w:pPr>
        <w:pStyle w:val="BodyText"/>
      </w:pPr>
      <w:r>
        <w:t xml:space="preserve">3.3 Digital Integration Gaps</w:t>
      </w:r>
    </w:p>
    <w:p>
      <w:pPr>
        <w:pStyle w:val="BodyText"/>
      </w:pPr>
      <w:r>
        <w:t xml:space="preserve">A significant disparity exists between private international schools and public institutions in Casablanca regarding digital literacy tools. Administrators must navigate this divide, often acting as mediators who advocate for equitable access to technology for all students, regardless of their socioeconomic background.</w:t>
      </w:r>
    </w:p>
    <w:bookmarkEnd w:id="23"/>
    <w:bookmarkStart w:id="24" w:name="discussion-strategic-implications"/>
    <w:p>
      <w:pPr>
        <w:pStyle w:val="Heading2"/>
      </w:pPr>
      <w:r>
        <w:t xml:space="preserve">4. Discussion: Strategic Implications</w:t>
      </w:r>
    </w:p>
    <w:p>
      <w:pPr>
        <w:pStyle w:val="FirstParagraph"/>
      </w:pPr>
      <w:r>
        <w:rPr>
          <w:bCs/>
          <w:b/>
        </w:rPr>
        <w:t xml:space="preserve">Critical Insight:</w:t>
      </w:r>
      <w:r>
        <w:t xml:space="preserve"> </w:t>
      </w:r>
      <w:r>
        <w:t xml:space="preserve">The traditional hierarchical model of administration is insufficient for the dynamic environment of Casablanca. A decentralized, data-driven approach is required.</w:t>
      </w:r>
    </w:p>
    <w:p>
      <w:pPr>
        <w:pStyle w:val="BodyText"/>
      </w:pPr>
      <w:r>
        <w:t xml:space="preserve">The findings suggest that an effective Education Administrator in Casablanca must possess not only pedagogical knowledge but also strong crisis management and community liaison skills. The city’s unique cultural fabric requires administrators who can bridge the gap between traditional Moroccan values and modern educational standards.</w:t>
      </w:r>
    </w:p>
    <w:p>
      <w:pPr>
        <w:pStyle w:val="BodyText"/>
      </w:pPr>
      <w:r>
        <w:t xml:space="preserve">Furthermore, the economic volatility affecting Casablanca’s industries directly impacts school funding through local municipal taxes. Administrators must therefore develop diversified revenue streams or strengthen public-private partnerships to ensure financial stability. This is particularly evident in neighborhoods undergoing gentrification where pressure on infrastructure increases rapidly.</w:t>
      </w:r>
    </w:p>
    <w:bookmarkEnd w:id="24"/>
    <w:bookmarkStart w:id="25" w:name="recommendations-for-action"/>
    <w:p>
      <w:pPr>
        <w:pStyle w:val="Heading2"/>
      </w:pPr>
      <w:r>
        <w:t xml:space="preserve">5. Recommendations for Action</w:t>
      </w:r>
    </w:p>
    <w:p>
      <w:pPr>
        <w:pStyle w:val="FirstParagraph"/>
      </w:pPr>
      <w:r>
        <w:t xml:space="preserve">Based on the laboratory results, the following recommendations are proposed for Education Administrators operating in Casablanca:</w:t>
      </w:r>
    </w:p>
    <w:p>
      <w:pPr>
        <w:numPr>
          <w:ilvl w:val="0"/>
          <w:numId w:val="1002"/>
        </w:numPr>
        <w:pStyle w:val="Compact"/>
      </w:pPr>
      <w:r>
        <w:rPr>
          <w:bCs/>
          <w:b/>
        </w:rPr>
        <w:t xml:space="preserve">Audit Local Protocols:</w:t>
      </w:r>
      <w:r>
        <w:t xml:space="preserve"> </w:t>
      </w:r>
      <w:r>
        <w:t xml:space="preserve">Conduct a quarterly review of administrative tasks to identify redundancies caused by central Ministry mandates. Streamline internal reporting structures to allow more time for student support.</w:t>
      </w:r>
    </w:p>
    <w:p>
      <w:pPr>
        <w:numPr>
          <w:ilvl w:val="0"/>
          <w:numId w:val="1002"/>
        </w:numPr>
        <w:pStyle w:val="Compact"/>
      </w:pPr>
      <w:r>
        <w:rPr>
          <w:bCs/>
          <w:b/>
        </w:rPr>
        <w:t xml:space="preserve">Enhance Community Engagement:</w:t>
      </w:r>
      <w:r>
        <w:t xml:space="preserve"> </w:t>
      </w:r>
      <w:r>
        <w:t xml:space="preserve">Establish parent-teacher-administrator councils in each school district. This fosters trust and allows administrators to gather real-time feedback on community needs, which is vital in a diverse city like Casablanca.</w:t>
      </w:r>
    </w:p>
    <w:p>
      <w:pPr>
        <w:numPr>
          <w:ilvl w:val="0"/>
          <w:numId w:val="1002"/>
        </w:numPr>
        <w:pStyle w:val="Compact"/>
      </w:pPr>
      <w:r>
        <w:rPr>
          <w:bCs/>
          <w:b/>
        </w:rPr>
        <w:t xml:space="preserve">Prioritize Digital Literacy Training:</w:t>
      </w:r>
      <w:r>
        <w:t xml:space="preserve"> </w:t>
      </w:r>
      <w:r>
        <w:t xml:space="preserve">Implement mandatory digital training for administrative staff. Understanding data analytics can help administrators predict enrollment trends and allocate resources more effectively.</w:t>
      </w:r>
    </w:p>
    <w:p>
      <w:pPr>
        <w:numPr>
          <w:ilvl w:val="0"/>
          <w:numId w:val="1002"/>
        </w:numPr>
        <w:pStyle w:val="Compact"/>
      </w:pPr>
      <w:r>
        <w:rPr>
          <w:bCs/>
          <w:b/>
        </w:rPr>
        <w:t xml:space="preserve">Leverage Regional Partnerships:</w:t>
      </w:r>
      <w:r>
        <w:t xml:space="preserve"> </w:t>
      </w:r>
      <w:r>
        <w:t xml:space="preserve">Collaborate with local universities in Casablanca (such as Hassan II University) to create internship pipelines for future administrators, ensuring a steady stream of locally trained professionals who understand the specific nuances of the region.</w:t>
      </w:r>
    </w:p>
    <w:bookmarkEnd w:id="25"/>
    <w:bookmarkStart w:id="26" w:name="conclusion"/>
    <w:p>
      <w:pPr>
        <w:pStyle w:val="Heading2"/>
      </w:pPr>
      <w:r>
        <w:t xml:space="preserve">6. Conclusion</w:t>
      </w:r>
    </w:p>
    <w:p>
      <w:pPr>
        <w:pStyle w:val="FirstParagraph"/>
      </w:pPr>
      <w:r>
        <w:t xml:space="preserve">This Laboratory Report underscores that education administration in Casablanca is not merely a bureaucratic function but a complex socio-economic endeavor. The Education Administrator serves as the linchpin between policy and practice, navigating the intricate web of cultural expectations, economic realities, and educational standards.</w:t>
      </w:r>
    </w:p>
    <w:p>
      <w:pPr>
        <w:pStyle w:val="BodyText"/>
      </w:pPr>
      <w:r>
        <w:t xml:space="preserve">By adopting the strategies outlined in this report—specifically focusing on decentralization of decision-making, community integration, and digital adaptation—administrators can significantly improve institutional outcomes. The future of education in Morocco’s largest city depends on leaders who are adaptable, culturally competent, and strategically visionary. Continuous monitoring and iterative improvement remain essential as Casablanca continues to evolve into a global hub.</w:t>
      </w:r>
    </w:p>
    <w:bookmarkEnd w:id="26"/>
    <w:bookmarkStart w:id="27" w:name="references"/>
    <w:p>
      <w:pPr>
        <w:pStyle w:val="Heading2"/>
      </w:pPr>
      <w:r>
        <w:t xml:space="preserve">7. References</w:t>
      </w:r>
    </w:p>
    <w:p>
      <w:pPr>
        <w:pStyle w:val="FirstParagraph"/>
      </w:pPr>
      <w:r>
        <w:rPr>
          <w:iCs/>
          <w:i/>
        </w:rPr>
        <w:t xml:space="preserve">Note: The following references simulate academic sources relevant to the context of this report.</w:t>
      </w:r>
    </w:p>
    <w:p>
      <w:pPr>
        <w:numPr>
          <w:ilvl w:val="0"/>
          <w:numId w:val="1003"/>
        </w:numPr>
        <w:pStyle w:val="Compact"/>
      </w:pPr>
      <w:r>
        <w:t xml:space="preserve">Ministry of National Education, Morocco. (2023). *Annual Statistical Bulletin on Primary and Secondary Education.*</w:t>
      </w:r>
    </w:p>
    <w:p>
      <w:pPr>
        <w:numPr>
          <w:ilvl w:val="0"/>
          <w:numId w:val="1003"/>
        </w:numPr>
        <w:pStyle w:val="Compact"/>
      </w:pPr>
      <w:r>
        <w:t xml:space="preserve">Hassan II University Casablanca Department of Sociology. (2022). *Urbanization and its Impact on School Infrastructure in Greater Casablanca.*</w:t>
      </w:r>
    </w:p>
    <w:p>
      <w:pPr>
        <w:numPr>
          <w:ilvl w:val="0"/>
          <w:numId w:val="1003"/>
        </w:numPr>
        <w:pStyle w:val="Compact"/>
      </w:pPr>
      <w:r>
        <w:t xml:space="preserve">World Bank Group. (2021). *Morocco Economic Monitor: Investing in Human Capital for a More Resilient Future.*</w:t>
      </w:r>
    </w:p>
    <w:p>
      <w:pPr>
        <w:numPr>
          <w:ilvl w:val="0"/>
          <w:numId w:val="1003"/>
        </w:numPr>
        <w:pStyle w:val="Compact"/>
      </w:pPr>
      <w:r>
        <w:t xml:space="preserve">Bennani, M., &amp; Alami, S. (2020). "Challenges of Administrative Autonomy in North African Educational Systems." *Journal of African Educational Administration,* 14(2),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Educational Administration Strategies in Casablanca</dc:title>
  <dc:creator/>
  <dc:language>en</dc:language>
  <cp:keywords/>
  <dcterms:created xsi:type="dcterms:W3CDTF">2026-07-29T18:00:20Z</dcterms:created>
  <dcterms:modified xsi:type="dcterms:W3CDTF">2026-07-29T18:00:20Z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