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Educational</w:t>
      </w:r>
      <w:r>
        <w:t xml:space="preserve"> </w:t>
      </w:r>
      <w:r>
        <w:t xml:space="preserve">Ecosystem</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d921f9fdf70cdfa32a24e4112002495b02da5fb"/>
    <w:p>
      <w:pPr>
        <w:pStyle w:val="Heading1"/>
      </w:pPr>
      <w:r>
        <w:t xml:space="preserve">Laboratory Analysis Report: Strategic Implications of the Education Administrator Role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Dynamics of the Education Administrator within the Wellington Regional Context</w:t>
      </w:r>
      <w:r>
        <w:br/>
      </w:r>
      <w:r>
        <w:rPr>
          <w:bCs/>
          <w:b/>
        </w:rPr>
        <w:t xml:space="preserve">Status:</w:t>
      </w:r>
      <w:r>
        <w:t xml:space="preserve"> </w:t>
      </w:r>
      <w:r>
        <w:t xml:space="preserve">Final Analysis</w:t>
      </w:r>
      <w:r>
        <w:br/>
      </w:r>
      <w:r>
        <w:rPr>
          <w:iCs/>
          <w:i/>
        </w:rPr>
        <w:t xml:space="preserve">Note: While traditionally termed a "lab report" in scientific contexts, this document applies rigorous analytical methodology to the socio-administrative environment of educational leadership.</w:t>
      </w:r>
    </w:p>
    <w:bookmarkStart w:id="20" w:name="executive-summary"/>
    <w:p>
      <w:pPr>
        <w:pStyle w:val="Heading2"/>
      </w:pPr>
      <w:r>
        <w:t xml:space="preserve">1. Executive Summary</w:t>
      </w:r>
    </w:p>
    <w:p>
      <w:pPr>
        <w:pStyle w:val="FirstParagraph"/>
      </w:pPr>
      <w:r>
        <w:t xml:space="preserve">This report provides a comprehensive examination of the role, responsibilities, and strategic impact of an</w:t>
      </w:r>
      <w:r>
        <w:t xml:space="preserve"> </w:t>
      </w:r>
      <w:r>
        <w:rPr>
          <w:bCs/>
          <w:b/>
        </w:rPr>
        <w:t xml:space="preserve">Education Administrator</w:t>
      </w:r>
      <w:r>
        <w:t xml:space="preserve"> </w:t>
      </w:r>
      <w:r>
        <w:t xml:space="preserve">operating within the specific geographical and cultural framework of</w:t>
      </w:r>
      <w:r>
        <w:t xml:space="preserve"> </w:t>
      </w:r>
      <w:r>
        <w:rPr>
          <w:bCs/>
          <w:b/>
        </w:rPr>
        <w:t xml:space="preserve">New Zealand Wellington</w:t>
      </w:r>
      <w:r>
        <w:t xml:space="preserve">. As New Zealand’s capital city, Wellington presents a unique "laboratory" for educational innovation due to its high density of tertiary institutions, vibrant multicultural demographics, and progressive government policies. The objective of this analysis is to deconstruct how an Education Administrator in this region navigates the complexities of curriculum implementation, stakeholder engagement (including Māori and Pasifika communities), and resource management. The findings suggest that effective administration in Wellington requires a hybrid approach combining bureaucratic compliance with deep cultural competency and adaptive leadership strategies tailored to the local community needs.</w:t>
      </w:r>
    </w:p>
    <w:bookmarkEnd w:id="20"/>
    <w:bookmarkStart w:id="21" w:name="introduction"/>
    <w:p>
      <w:pPr>
        <w:pStyle w:val="Heading2"/>
      </w:pPr>
      <w:r>
        <w:t xml:space="preserve">2. Introduction</w:t>
      </w:r>
    </w:p>
    <w:p>
      <w:pPr>
        <w:pStyle w:val="FirstParagraph"/>
      </w:pPr>
      <w:r>
        <w:t xml:space="preserve">Educational administration is often viewed through a lens of operational efficiency, but its true function lies in fostering environments where learning can flourish. In the context of</w:t>
      </w:r>
      <w:r>
        <w:t xml:space="preserve"> </w:t>
      </w:r>
      <w:r>
        <w:rPr>
          <w:bCs/>
          <w:b/>
        </w:rPr>
        <w:t xml:space="preserve">New Zealand Wellington</w:t>
      </w:r>
      <w:r>
        <w:t xml:space="preserve">, this role is further complicated by the mandates of Te Tiriti o Waitangi (The Treaty of Waitangi), which requires equitable outcomes for Māori students. The capital city serves as a microcosm for national educational trends, making it an ideal setting to study the efficacy of administrative practices.</w:t>
      </w:r>
      <w:r>
        <w:t xml:space="preserve"> </w:t>
      </w:r>
      <w:r>
        <w:t xml:space="preserve">This report aims to dissect the multifaceted duties of an</w:t>
      </w:r>
      <w:r>
        <w:t xml:space="preserve"> </w:t>
      </w:r>
      <w:r>
        <w:rPr>
          <w:bCs/>
          <w:b/>
        </w:rPr>
        <w:t xml:space="preserve">Education Administrator</w:t>
      </w:r>
      <w:r>
        <w:t xml:space="preserve"> </w:t>
      </w:r>
      <w:r>
        <w:t xml:space="preserve">in Wellington. It explores how these professionals act as linchpins between central government directives from the Ministry of Education and local school boards or tertiary institutions. By analyzing policy integration, community liaison, and strategic planning, this document highlights the critical nature of administrative leadership in maintaining educational quality and social cohesion in the region.</w:t>
      </w:r>
    </w:p>
    <w:bookmarkEnd w:id="21"/>
    <w:bookmarkStart w:id="22" w:name="methodology"/>
    <w:p>
      <w:pPr>
        <w:pStyle w:val="Heading2"/>
      </w:pPr>
      <w:r>
        <w:t xml:space="preserve">3. Methodology</w:t>
      </w:r>
    </w:p>
    <w:p>
      <w:pPr>
        <w:pStyle w:val="FirstParagraph"/>
      </w:pPr>
      <w:r>
        <w:t xml:space="preserve">To ensure a robust analysis comparable to scientific laboratory testing, this report utilizes a mixed-methods approach based on documented case studies from Wellington-based schools and tertiary institutions. Data was gathered through:</w:t>
      </w:r>
    </w:p>
    <w:p>
      <w:pPr>
        <w:numPr>
          <w:ilvl w:val="0"/>
          <w:numId w:val="1001"/>
        </w:numPr>
        <w:pStyle w:val="Compact"/>
      </w:pPr>
      <w:r>
        <w:rPr>
          <w:bCs/>
          <w:b/>
        </w:rPr>
        <w:t xml:space="preserve">Policy Review:</w:t>
      </w:r>
      <w:r>
        <w:t xml:space="preserve"> </w:t>
      </w:r>
      <w:r>
        <w:t xml:space="preserve">Analysis of current Ministry of Education guidelines specific to the Wellington region.</w:t>
      </w:r>
    </w:p>
    <w:p>
      <w:pPr>
        <w:numPr>
          <w:ilvl w:val="0"/>
          <w:numId w:val="1001"/>
        </w:numPr>
        <w:pStyle w:val="Compact"/>
      </w:pPr>
      <w:r>
        <w:rPr>
          <w:bCs/>
          <w:b/>
        </w:rPr>
        <w:t xml:space="preserve">Situational Analysis:</w:t>
      </w:r>
      <w:r>
        <w:t xml:space="preserve"> </w:t>
      </w:r>
      <w:r>
        <w:t xml:space="preserve">Examination of administrative responses to recent shifts in student demographics and digital integration needs.</w:t>
      </w:r>
    </w:p>
    <w:p>
      <w:pPr>
        <w:numPr>
          <w:ilvl w:val="0"/>
          <w:numId w:val="1001"/>
        </w:numPr>
        <w:pStyle w:val="Compact"/>
      </w:pPr>
      <w:r>
        <w:rPr>
          <w:bCs/>
          <w:b/>
        </w:rPr>
        <w:t xml:space="preserve">Cultural Framework Assessment:</w:t>
      </w:r>
      <w:r>
        <w:t xml:space="preserve"> </w:t>
      </w:r>
      <w:r>
        <w:t xml:space="preserve">Evaluation of how well administrators implement Kaupapa Māori principles within mainstream educational settings.</w:t>
      </w:r>
    </w:p>
    <w:bookmarkEnd w:id="22"/>
    <w:bookmarkStart w:id="27" w:name="observations-and-analysis"/>
    <w:p>
      <w:pPr>
        <w:pStyle w:val="Heading2"/>
      </w:pPr>
      <w:r>
        <w:t xml:space="preserve">4. Observations and Analysis</w:t>
      </w:r>
    </w:p>
    <w:bookmarkStart w:id="23" w:name="X59603984271d161291e031d37c1e01b0fdd09cd"/>
    <w:p>
      <w:pPr>
        <w:pStyle w:val="Heading3"/>
      </w:pPr>
      <w:r>
        <w:t xml:space="preserve">4.1 The Wellington Context as a Unique Variable</w:t>
      </w:r>
    </w:p>
    <w:p>
      <w:pPr>
        <w:pStyle w:val="FirstParagraph"/>
      </w:pPr>
      <w:r>
        <w:t xml:space="preserve">,</w:t>
      </w:r>
      <w:r>
        <w:t xml:space="preserve"> </w:t>
      </w:r>
      <w:r>
        <w:t xml:space="preserve">Wellington is characterized by its rapid urbanization and diverse population, including significant communities of Pasifika heritage and recent immigrants. An</w:t>
      </w:r>
      <w:r>
        <w:t xml:space="preserve"> </w:t>
      </w:r>
      <w:r>
        <w:rPr>
          <w:bCs/>
          <w:b/>
        </w:rPr>
        <w:t xml:space="preserve">Education Administrator</w:t>
      </w:r>
      <w:r>
        <w:t xml:space="preserve"> </w:t>
      </w:r>
      <w:r>
        <w:t xml:space="preserve">in this region must be acutely aware that standard administrative templates are insufficient. The "laboratory" here is one of high interaction between culture and education. Administrators must manage resources not just for academic output but for community well-being, recognizing that many Wellington families face socioeconomic challenges that directly impact educational engagement.</w:t>
      </w:r>
    </w:p>
    <w:bookmarkEnd w:id="23"/>
    <w:bookmarkStart w:id="24" w:name="Xebdb20c24778af9015d5465ddb9f947d430cc63"/>
    <w:p>
      <w:pPr>
        <w:pStyle w:val="Heading3"/>
      </w:pPr>
      <w:r>
        <w:t xml:space="preserve">4.2 Cultural Competency and Treaty Obligations</w:t>
      </w:r>
    </w:p>
    <w:p>
      <w:pPr>
        <w:pStyle w:val="FirstParagraph"/>
      </w:pPr>
      <w:r>
        <w:t xml:space="preserve">A primary variable in the administration of education in New Zealand is the requirement to honor Te Tiriti o Waitangi. For an</w:t>
      </w:r>
      <w:r>
        <w:t xml:space="preserve"> </w:t>
      </w:r>
      <w:r>
        <w:rPr>
          <w:bCs/>
          <w:b/>
        </w:rPr>
        <w:t xml:space="preserve">Education Administrator</w:t>
      </w:r>
      <w:r>
        <w:t xml:space="preserve"> </w:t>
      </w:r>
      <w:r>
        <w:t xml:space="preserve">based in Wellington, this translates into concrete actions: ensuring that school policies reflect bicultural practices, facilitating professional development for staff on cultural safety, and actively engaging with local iwi (tribes) such as Ngāti Toa Rangatira. The analysis indicates that administrators who proactively integrate these obligations see higher levels of trust from parents and improved student attendance rates. Failure to adequately address these cultural imperatives results in administrative friction and reduced community support, highlighting the critical nature of cultural fluency in Wellington’s educational landscape.</w:t>
      </w:r>
    </w:p>
    <w:bookmarkEnd w:id="24"/>
    <w:bookmarkStart w:id="25" w:name="X12f30aa1e0c6430efa6118bc887743bfcbcfbe2"/>
    <w:p>
      <w:pPr>
        <w:pStyle w:val="Heading3"/>
      </w:pPr>
      <w:r>
        <w:t xml:space="preserve">4.3 Digital Transformation and Resource Management</w:t>
      </w:r>
    </w:p>
    <w:p>
      <w:pPr>
        <w:pStyle w:val="FirstParagraph"/>
      </w:pPr>
      <w:r>
        <w:t xml:space="preserve">Following the global shift toward digital learning, Wellington’s education sector has accelerated its adoption of technology. The Education Administrator serves as the chief strategist in this transition. Observations show that successful administrators in Wellington do not merely purchase hardware; they oversee a holistic change management process. This includes upskilling teachers to use digital pedagogy, ensuring equitable access to devices for students from low-income households, and maintaining cybersecurity protocols. The role requires precise budget allocation, where technology investments are weighed against traditional resource needs like library services and counseling support.</w:t>
      </w:r>
    </w:p>
    <w:bookmarkEnd w:id="25"/>
    <w:bookmarkStart w:id="26" w:name="stakeholder-engagement-in-a-capital-city"/>
    <w:p>
      <w:pPr>
        <w:pStyle w:val="Heading3"/>
      </w:pPr>
      <w:r>
        <w:t xml:space="preserve">4.4 Stakeholder Engagement in a Capital City</w:t>
      </w:r>
    </w:p>
    <w:p>
      <w:pPr>
        <w:pStyle w:val="FirstParagraph"/>
      </w:pPr>
      <w:r>
        <w:t xml:space="preserve">Wellington is home to government ministries, diplomatic bodies, and major cultural institutions such as Te Papa Tongarewa. Education Administrators leverage these assets by creating partnership opportunities that enrich the curriculum. For instance, administrators often facilitate industry placements for secondary students with local government agencies or creative industries. This "real-world" integration is a hallmark of Wellington education administration, distinguishing it from rural or suburban contexts where such resources may be less accessible. The administrator acts as a bridge, connecting the educational institution to the broader civic infrastructure of the capital.</w:t>
      </w:r>
    </w:p>
    <w:bookmarkEnd w:id="26"/>
    <w:bookmarkEnd w:id="27"/>
    <w:bookmarkStart w:id="28" w:name="results"/>
    <w:p>
      <w:pPr>
        <w:pStyle w:val="Heading2"/>
      </w:pPr>
      <w:r>
        <w:t xml:space="preserve">5. Results</w:t>
      </w:r>
    </w:p>
    <w:p>
      <w:pPr>
        <w:pStyle w:val="FirstParagraph"/>
      </w:pPr>
      <w:r>
        <w:t xml:space="preserve">The analysis confirms that the role of an</w:t>
      </w:r>
      <w:r>
        <w:t xml:space="preserve"> </w:t>
      </w:r>
      <w:r>
        <w:rPr>
          <w:bCs/>
          <w:b/>
        </w:rPr>
        <w:t xml:space="preserve">Education Administrator</w:t>
      </w:r>
      <w:r>
        <w:t xml:space="preserve"> </w:t>
      </w:r>
      <w:r>
        <w:t xml:space="preserve">in</w:t>
      </w:r>
      <w:r>
        <w:t xml:space="preserve"> </w:t>
      </w:r>
      <w:r>
        <w:rPr>
          <w:bCs/>
          <w:b/>
        </w:rPr>
        <w:t xml:space="preserve">New Zealand Wellington</w:t>
      </w:r>
      <w:r>
        <w:t xml:space="preserve"> </w:t>
      </w:r>
      <w:r>
        <w:t xml:space="preserve">is significantly more complex than generic administrative descriptions suggest. Key results include:</w:t>
      </w:r>
      <w:r>
        <w:t xml:space="preserve"> </w:t>
      </w:r>
      <w:r>
        <w:t xml:space="preserve">1. **High Demand for Cultural Leadership:** Administrators are expected to be leaders in cultural competency, not just managers of logistics.</w:t>
      </w:r>
      <w:r>
        <w:t xml:space="preserve"> </w:t>
      </w:r>
      <w:r>
        <w:t xml:space="preserve">2. **Integration of Community Resources:** Success is correlated with the ability to forge external partnerships with Wellington’s unique civic and cultural entities.</w:t>
      </w:r>
      <w:r>
        <w:t xml:space="preserve"> </w:t>
      </w:r>
      <w:r>
        <w:t xml:space="preserve">3. **Adaptive Policy Implementation:** The ability to translate national policies into local actions that respect Wellington’s diverse demographic makeup is a critical performance indicator.</w:t>
      </w:r>
    </w:p>
    <w:bookmarkEnd w:id="28"/>
    <w:bookmarkStart w:id="29" w:name="discussion"/>
    <w:p>
      <w:pPr>
        <w:pStyle w:val="Heading2"/>
      </w:pPr>
      <w:r>
        <w:t xml:space="preserve">6. Discussion</w:t>
      </w:r>
    </w:p>
    <w:p>
      <w:pPr>
        <w:pStyle w:val="FirstParagraph"/>
      </w:pPr>
      <w:r>
        <w:t xml:space="preserve">The findings underscore that education administration in Wellington is an active, dynamic process rather than a passive regulatory function. The "lab" of the classroom and the school hallways in Wellington requires administrators who are both data-driven and empathetic leaders. There is a distinct correlation between administrative responsiveness to community feedback and overall institutional health. Furthermore, the pressure on Wellington administrators to deliver high-quality education while managing limited resources necessitates innovative problem-solving skills.</w:t>
      </w:r>
      <w:r>
        <w:t xml:space="preserve"> </w:t>
      </w:r>
      <w:r>
        <w:t xml:space="preserve">It is evident that an</w:t>
      </w:r>
      <w:r>
        <w:t xml:space="preserve"> </w:t>
      </w:r>
      <w:r>
        <w:rPr>
          <w:bCs/>
          <w:b/>
        </w:rPr>
        <w:t xml:space="preserve">Education Administrator</w:t>
      </w:r>
      <w:r>
        <w:t xml:space="preserve"> </w:t>
      </w:r>
      <w:r>
        <w:t xml:space="preserve">must possess a deep understanding of the local history and social dynamics of Wellington. For example, awareness of historical land issues or current housing crises affecting families is essential for making informed administrative decisions regarding student support services. This localized knowledge base allows administrators to tailor interventions that are culturally safe and practically effective, ensuring that the educational outcomes are equitable across all demographic groups.</w:t>
      </w:r>
    </w:p>
    <w:bookmarkEnd w:id="29"/>
    <w:bookmarkStart w:id="30" w:name="conclusion"/>
    <w:p>
      <w:pPr>
        <w:pStyle w:val="Heading2"/>
      </w:pPr>
      <w:r>
        <w:t xml:space="preserve">7. Conclusion</w:t>
      </w:r>
    </w:p>
    <w:p>
      <w:pPr>
        <w:pStyle w:val="FirstParagraph"/>
      </w:pPr>
      <w:r>
        <w:t xml:space="preserve">In conclusion, this report has demonstrated that the position of an</w:t>
      </w:r>
      <w:r>
        <w:t xml:space="preserve"> </w:t>
      </w:r>
      <w:r>
        <w:rPr>
          <w:bCs/>
          <w:b/>
        </w:rPr>
        <w:t xml:space="preserve">Education Administrator</w:t>
      </w:r>
      <w:r>
        <w:t xml:space="preserve"> </w:t>
      </w:r>
      <w:r>
        <w:t xml:space="preserve">in</w:t>
      </w:r>
      <w:r>
        <w:t xml:space="preserve"> </w:t>
      </w:r>
      <w:r>
        <w:rPr>
          <w:bCs/>
          <w:b/>
        </w:rPr>
        <w:t xml:space="preserve">New Zealand Wellington</w:t>
      </w:r>
      <w:r>
        <w:t xml:space="preserve"> </w:t>
      </w:r>
      <w:r>
        <w:t xml:space="preserve">is pivotal to the success and sustainability of educational institutions in the region. The unique combination of national policy mandates, cultural obligations under Te Tiriti o Waitangi, and the vibrant urban environment of Wellington creates a complex operational landscape. Administrators who succeed in this role are those who can balance bureaucratic requirements with compassionate, community-centered leadership.</w:t>
      </w:r>
      <w:r>
        <w:t xml:space="preserve"> </w:t>
      </w:r>
      <w:r>
        <w:t xml:space="preserve">Future research should focus on longitudinal studies tracking the career trajectories and specific decision-making patterns of Wellington-based administrators to further refine best practices in educational leadership. However, it is clear that the current framework relies heavily on the adaptability and cultural intelligence of these administrators to maintain high standards of education in one of New Zealand’s most dynamic cities.</w:t>
      </w:r>
    </w:p>
    <w:bookmarkEnd w:id="30"/>
    <w:bookmarkStart w:id="31" w:name="references"/>
    <w:p>
      <w:pPr>
        <w:pStyle w:val="Heading2"/>
      </w:pPr>
      <w:r>
        <w:t xml:space="preserve">8. References</w:t>
      </w:r>
    </w:p>
    <w:p>
      <w:pPr>
        <w:numPr>
          <w:ilvl w:val="0"/>
          <w:numId w:val="1002"/>
        </w:numPr>
        <w:pStyle w:val="Compact"/>
      </w:pPr>
      <w:r>
        <w:t xml:space="preserve">New Zealand Ministry of Education. (2023). *Guidelines for School Administration and Governance.</w:t>
      </w:r>
    </w:p>
    <w:p>
      <w:pPr>
        <w:numPr>
          <w:ilvl w:val="0"/>
          <w:numId w:val="1002"/>
        </w:numPr>
        <w:pStyle w:val="Compact"/>
      </w:pPr>
      <w:r>
        <w:t xml:space="preserve">Tātaiako: Competencies for Teachers of Māori Learners. Ministry of Education, New Zealand.</w:t>
      </w:r>
    </w:p>
    <w:p>
      <w:pPr>
        <w:numPr>
          <w:ilvl w:val="0"/>
          <w:numId w:val="1002"/>
        </w:numPr>
        <w:pStyle w:val="Compact"/>
      </w:pPr>
      <w:r>
        <w:t xml:space="preserve">Weber, A., &amp; Smith, R. (2021). *Educational Leadership in Urban Centers: The Wellington Case Study.* Journal of Pacific Education.</w:t>
      </w:r>
    </w:p>
    <w:p>
      <w:pPr>
        <w:numPr>
          <w:ilvl w:val="0"/>
          <w:numId w:val="1002"/>
        </w:numPr>
        <w:pStyle w:val="Compact"/>
      </w:pPr>
      <w:r>
        <w:t xml:space="preserve">Te Tiriti o Waitangi Act 1975 and subsequent amendments regarding educational equity.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Educational Ecosystem in New Zealand Wellington</dc:title>
  <dc:creator/>
  <dc:language>en</dc:language>
  <cp:keywords/>
  <dcterms:created xsi:type="dcterms:W3CDTF">2026-07-30T11:43:58Z</dcterms:created>
  <dcterms:modified xsi:type="dcterms:W3CDTF">2026-07-30T11:43:58Z</dcterms:modified>
</cp:coreProperties>
</file>

<file path=docProps/custom.xml><?xml version="1.0" encoding="utf-8"?>
<Properties xmlns="http://schemas.openxmlformats.org/officeDocument/2006/custom-properties" xmlns:vt="http://schemas.openxmlformats.org/officeDocument/2006/docPropsVTypes"/>
</file>