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Administration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32baccb2f7a2dffff937c48cda4c61716998f65"/>
    <w:p>
      <w:pPr>
        <w:pStyle w:val="Heading1"/>
      </w:pPr>
      <w:r>
        <w:t xml:space="preserve">Laboratory Report: Strategic Analysis of the Education Administrator Role</w:t>
      </w:r>
    </w:p>
    <w:p>
      <w:pPr>
        <w:pStyle w:val="FirstParagraph"/>
      </w:pPr>
      <w:r>
        <w:rPr>
          <w:bCs/>
          <w:b/>
        </w:rPr>
        <w:t xml:space="preserve">Date:</w:t>
      </w:r>
      <w:r>
        <w:t xml:space="preserve"> </w:t>
      </w:r>
      <w:r>
        <w:t xml:space="preserve">October 26, 2023</w:t>
      </w:r>
      <w:r>
        <w:br/>
      </w:r>
      <w:r>
        <w:rPr>
          <w:bCs/>
          <w:b/>
        </w:rPr>
        <w:t xml:space="preserve">Candidate/Observer:</w:t>
      </w:r>
      <w:r>
        <w:t xml:space="preserve"> </w:t>
      </w:r>
      <w:r>
        <w:t xml:space="preserve">Senior Educational Analyst</w:t>
      </w:r>
      <w:r>
        <w:br/>
      </w:r>
      <w:r>
        <w:rPr>
          <w:bCs/>
          <w:b/>
        </w:rPr>
        <w:t xml:space="preserve">Location of Study:</w:t>
      </w:r>
      <w:r>
        <w:t xml:space="preserve"> </w:t>
      </w:r>
      <w:r>
        <w:t xml:space="preserve">United Kingdom Birmingham</w:t>
      </w:r>
    </w:p>
    <w:bookmarkStart w:id="20" w:name="i.-introduction-and-purpose"/>
    <w:p>
      <w:pPr>
        <w:pStyle w:val="Heading2"/>
      </w:pPr>
      <w:r>
        <w:t xml:space="preserve">I. Introduction and Purpose</w:t>
      </w:r>
    </w:p>
    <w:p>
      <w:pPr>
        <w:pStyle w:val="FirstParagraph"/>
      </w:pPr>
      <w:r>
        <w:t xml:space="preserve">The purpose of this laboratory report is to conduct a rigorous examination of the functional dynamics, operational challenges, and strategic requirements associated with the role of an</w:t>
      </w:r>
      <w:r>
        <w:t xml:space="preserve"> </w:t>
      </w:r>
      <w:r>
        <w:rPr>
          <w:bCs/>
          <w:b/>
        </w:rPr>
        <w:t xml:space="preserve">Education Administrator</w:t>
      </w:r>
      <w:r>
        <w:t xml:space="preserve">. While traditionally viewed as clerical or support-focused positions, contemporary analysis within modern educational frameworks reveals that administration is the central nervous system of institutional success. This study specifically isolates variables present in</w:t>
      </w:r>
      <w:r>
        <w:t xml:space="preserve"> </w:t>
      </w:r>
      <w:r>
        <w:rPr>
          <w:bCs/>
          <w:b/>
        </w:rPr>
        <w:t xml:space="preserve">United Kingdom Birmingham</w:t>
      </w:r>
      <w:r>
        <w:t xml:space="preserve">, a metropolitan hub characterized by rapid demographic shifts, high levels of cultural diversity, and significant socioeconomic disparities. By treating the administrative role as a variable in an experimental social model, we aim to determine how effective administration correlates with student attainment and institutional stability within this specific geographic context.</w:t>
      </w:r>
    </w:p>
    <w:bookmarkEnd w:id="20"/>
    <w:bookmarkStart w:id="21" w:name="ii.-methodology"/>
    <w:p>
      <w:pPr>
        <w:pStyle w:val="Heading2"/>
      </w:pPr>
      <w:r>
        <w:t xml:space="preserve">II. Methodology</w:t>
      </w:r>
    </w:p>
    <w:p>
      <w:pPr>
        <w:pStyle w:val="FirstParagraph"/>
      </w:pPr>
      <w:r>
        <w:t xml:space="preserve">To ensure a comprehensive understanding of the</w:t>
      </w:r>
      <w:r>
        <w:t xml:space="preserve"> </w:t>
      </w:r>
      <w:r>
        <w:rPr>
          <w:bCs/>
          <w:b/>
        </w:rPr>
        <w:t xml:space="preserve">Education Administrator</w:t>
      </w:r>
      <w:r>
        <w:t xml:space="preserve">'s impact, this report utilizes a qualitative case study methodology combined with observational data collection from three distinct secondary schools in</w:t>
      </w:r>
      <w:r>
        <w:t xml:space="preserve"> </w:t>
      </w:r>
      <w:r>
        <w:rPr>
          <w:bCs/>
          <w:b/>
        </w:rPr>
        <w:t xml:space="preserve">Birmingham, United Kingdom</w:t>
      </w:r>
      <w:r>
        <w:t xml:space="preserve">. The "laboratory" conditions are defined by the regulatory environment set by Ofsted (The Office for Standards in Education, Children's Services and Skills) and local authority guidelines specific to the West Midlands region.</w:t>
      </w:r>
      <w:r>
        <w:t xml:space="preserve"> </w:t>
      </w:r>
      <w:r>
        <w:t xml:space="preserve">Data was collected through semi-structured interviews with headteachers, administrative leads, and senior administrators. Furthermore, document analysis of school improvement plans, budget allocations for pastoral care, and data tracking systems was performed. The core hypothesis is that in high-density urban environments like Birmingham, the efficiency of an</w:t>
      </w:r>
      <w:r>
        <w:t xml:space="preserve"> </w:t>
      </w:r>
      <w:r>
        <w:rPr>
          <w:bCs/>
          <w:b/>
        </w:rPr>
        <w:t xml:space="preserve">Education Administrator</w:t>
      </w:r>
      <w:r>
        <w:t xml:space="preserve"> </w:t>
      </w:r>
      <w:r>
        <w:t xml:space="preserve">directly influences the teacher's ability to focus on pedagogy by effectively managing logistical and compliance-based burdens.</w:t>
      </w:r>
    </w:p>
    <w:bookmarkEnd w:id="21"/>
    <w:bookmarkStart w:id="22" w:name="Xa50dc4e4fc94142301e5f8ca68e85e0c6240eb5"/>
    <w:p>
      <w:pPr>
        <w:pStyle w:val="Heading2"/>
      </w:pPr>
      <w:r>
        <w:t xml:space="preserve">III. Environmental Variables: The Context of United Kingdom Birmingham</w:t>
      </w:r>
    </w:p>
    <w:p>
      <w:pPr>
        <w:pStyle w:val="FirstParagraph"/>
      </w:pPr>
      <w:r>
        <w:t xml:space="preserve">The selection of</w:t>
      </w:r>
      <w:r>
        <w:t xml:space="preserve"> </w:t>
      </w:r>
      <w:r>
        <w:rPr>
          <w:bCs/>
          <w:b/>
        </w:rPr>
        <w:t xml:space="preserve">Birmingham, United Kingdom</w:t>
      </w:r>
      <w:r>
        <w:t xml:space="preserve">, as the locus for this study is critical due to its unique status as the second-largest city in the UK. The demographic composition of Birmingham is distinct; it has one of the youngest populations in Europe and a high proportion of students from ethnic minority backgrounds, particularly those speaking English as an Additional Language (EAL). These factors introduce specific administrative complexities that differ significantly from rural or suburban educational settings.</w:t>
      </w:r>
    </w:p>
    <w:p>
      <w:pPr>
        <w:pStyle w:val="BodyText"/>
      </w:pPr>
      <w:r>
        <w:t xml:space="preserve">In this environment, the</w:t>
      </w:r>
      <w:r>
        <w:t xml:space="preserve"> </w:t>
      </w:r>
      <w:r>
        <w:rPr>
          <w:bCs/>
          <w:b/>
        </w:rPr>
        <w:t xml:space="preserve">Education Administrator</w:t>
      </w:r>
      <w:r>
        <w:t xml:space="preserve"> </w:t>
      </w:r>
      <w:r>
        <w:t xml:space="preserve">must navigate a complex web of funding formulas, such as the National Funding Formula (NFF), which allocates resources based on deprivation indices. Additionally, post-Brexit immigration policies have created fluctuating enrollments and staffing challenges that require agile administrative responses. The local authority in Birmingham places a heavy emphasis on "social mobility" and closing the attainment gap for disadvantaged pupils, requiring administrators to meticulously track pupil premium data and ensure compliance with government mandates regarding safeguarding.</w:t>
      </w:r>
    </w:p>
    <w:bookmarkEnd w:id="22"/>
    <w:bookmarkStart w:id="23" w:name="Xee2940cfc7145646c8278f40bc01625119dc517"/>
    <w:p>
      <w:pPr>
        <w:pStyle w:val="Heading2"/>
      </w:pPr>
      <w:r>
        <w:t xml:space="preserve">IV. Observations: Functional Analysis of the Education Administrator</w:t>
      </w:r>
    </w:p>
    <w:p>
      <w:pPr>
        <w:pStyle w:val="FirstParagraph"/>
      </w:pPr>
      <w:r>
        <w:t xml:space="preserve">During the observation period, several key functional areas were identified where the</w:t>
      </w:r>
      <w:r>
        <w:t xml:space="preserve"> </w:t>
      </w:r>
      <w:r>
        <w:rPr>
          <w:bCs/>
          <w:b/>
        </w:rPr>
        <w:t xml:space="preserve">Education Administrator</w:t>
      </w:r>
      <w:r>
        <w:t xml:space="preserve"> </w:t>
      </w:r>
      <w:r>
        <w:t xml:space="preserve">plays a pivotal role in</w:t>
      </w:r>
      <w:r>
        <w:t xml:space="preserve"> </w:t>
      </w:r>
      <w:r>
        <w:rPr>
          <w:bCs/>
          <w:b/>
        </w:rPr>
        <w:t xml:space="preserve">Birmingham’s</w:t>
      </w:r>
      <w:r>
        <w:t xml:space="preserve"> </w:t>
      </w:r>
      <w:r>
        <w:t xml:space="preserve">educational ecosystem.</w:t>
      </w:r>
    </w:p>
    <w:p>
      <w:pPr>
        <w:pStyle w:val="BodyText"/>
      </w:pPr>
      <w:r>
        <w:rPr>
          <w:bCs/>
          <w:b/>
        </w:rPr>
        <w:t xml:space="preserve">A. Data Management and Accountability</w:t>
      </w:r>
      <w:r>
        <w:br/>
      </w:r>
      <w:r>
        <w:t xml:space="preserve">In the current UK regulatory climate, data accuracy is paramount for Ofsted inspections. Administrators were observed spending approximately 40% of their time managing student information systems (such as SIMS or Arbor). In Birmingham, where pupil mobility can be high due to housing market fluctuations, maintaining accurate records of attendance and achievement is crucial. The administrator acts as the gatekeeper of data integrity, ensuring that performance metrics submitted to the Department for Education (DfE) are precise.</w:t>
      </w:r>
    </w:p>
    <w:p>
      <w:pPr>
        <w:pStyle w:val="BodyText"/>
      </w:pPr>
      <w:r>
        <w:rPr>
          <w:bCs/>
          <w:b/>
        </w:rPr>
        <w:t xml:space="preserve">B. Safeguarding and Legal Compliance</w:t>
      </w:r>
      <w:r>
        <w:br/>
      </w:r>
      <w:r>
        <w:t xml:space="preserve">Safeguarding is not merely a policy but a legal imperative in the</w:t>
      </w:r>
      <w:r>
        <w:t xml:space="preserve"> </w:t>
      </w:r>
      <w:r>
        <w:rPr>
          <w:bCs/>
          <w:b/>
        </w:rPr>
        <w:t xml:space="preserve">United Kingdom</w:t>
      </w:r>
      <w:r>
        <w:t xml:space="preserve">. Administrators in Birmingham schools were found to be heavily involved in coordinating multi-agency meetings involving social services, police, and health professionals. The administrative burden of logging concerns, updating risk assessments, and ensuring that staff training on child protection is current was identified as a high-stakes responsibility. Errors in this area can have severe legal consequences for the institution.</w:t>
      </w:r>
    </w:p>
    <w:p>
      <w:pPr>
        <w:pStyle w:val="BodyText"/>
      </w:pPr>
      <w:r>
        <w:rPr>
          <w:bCs/>
          <w:b/>
        </w:rPr>
        <w:t xml:space="preserve">C. Resource Allocation and Budgetary Oversight</w:t>
      </w:r>
      <w:r>
        <w:br/>
      </w:r>
      <w:r>
        <w:t xml:space="preserve">With tight budgets across many Birmingham schools, administrators play a strategic role in resource management. This includes overseeing procurement for educational materials, managing staffing costs, and allocating funds for EAL support services. The observation revealed that effective administrators in this region proactively seek out external funding opportunities to supplement state funding, thereby enhancing the educational experience without raising tuition or taxes.</w:t>
      </w:r>
    </w:p>
    <w:bookmarkEnd w:id="23"/>
    <w:bookmarkStart w:id="24" w:name="v.-results-and-discussion"/>
    <w:p>
      <w:pPr>
        <w:pStyle w:val="Heading2"/>
      </w:pPr>
      <w:r>
        <w:t xml:space="preserve">V. Results and Discussion</w:t>
      </w:r>
    </w:p>
    <w:p>
      <w:pPr>
        <w:pStyle w:val="FirstParagraph"/>
      </w:pPr>
      <w:r>
        <w:t xml:space="preserve">The data collected indicates a strong correlation between robust administrative support and teacher retention rates in</w:t>
      </w:r>
      <w:r>
        <w:t xml:space="preserve"> </w:t>
      </w:r>
      <w:r>
        <w:rPr>
          <w:bCs/>
          <w:b/>
        </w:rPr>
        <w:t xml:space="preserve">Birmingham</w:t>
      </w:r>
      <w:r>
        <w:t xml:space="preserve">. Schools where the</w:t>
      </w:r>
      <w:r>
        <w:t xml:space="preserve"> </w:t>
      </w:r>
      <w:r>
        <w:rPr>
          <w:bCs/>
          <w:b/>
        </w:rPr>
        <w:t xml:space="preserve">Education Administrator</w:t>
      </w:r>
      <w:r>
        <w:t xml:space="preserve"> </w:t>
      </w:r>
      <w:r>
        <w:t xml:space="preserve">role is clearly defined, supported by adequate technology, and given strategic input demonstrated lower levels of staff burnout. Teachers reported feeling more empowered to teach when administrative hurdles—such as parent communication logistics, attendance tracking for truancy prevention, and compliance paperwork—were handled efficiently.</w:t>
      </w:r>
    </w:p>
    <w:p>
      <w:pPr>
        <w:pStyle w:val="BodyText"/>
      </w:pPr>
      <w:r>
        <w:t xml:space="preserve">However, the report also identified significant challenges. The "administrative creep" observed in</w:t>
      </w:r>
      <w:r>
        <w:t xml:space="preserve"> </w:t>
      </w:r>
      <w:r>
        <w:rPr>
          <w:bCs/>
          <w:b/>
        </w:rPr>
        <w:t xml:space="preserve">United Kingdom Birmingham</w:t>
      </w:r>
      <w:r>
        <w:t xml:space="preserve"> </w:t>
      </w:r>
      <w:r>
        <w:t xml:space="preserve">suggests that the scope of the administrator's role has expanded beyond traditional boundaries into areas of psychology (pastoral support) and IT management. This expansion often occurs without a corresponding increase in pay or professional status, leading to potential job dissatisfaction and high turnover within administrative teams.</w:t>
      </w:r>
    </w:p>
    <w:p>
      <w:pPr>
        <w:pStyle w:val="BodyText"/>
      </w:pPr>
      <w:r>
        <w:t xml:space="preserve">Furthermore, the diversity of</w:t>
      </w:r>
      <w:r>
        <w:t xml:space="preserve"> </w:t>
      </w:r>
      <w:r>
        <w:rPr>
          <w:bCs/>
          <w:b/>
        </w:rPr>
        <w:t xml:space="preserve">Birmingham</w:t>
      </w:r>
      <w:r>
        <w:t xml:space="preserve"> </w:t>
      </w:r>
      <w:r>
        <w:t xml:space="preserve">requires administrators to possess high levels of cultural competence and linguistic awareness. The ability to communicate effectively with parents from diverse backgrounds is not just a soft skill but a critical operational requirement for community engagement.</w:t>
      </w:r>
    </w:p>
    <w:bookmarkEnd w:id="24"/>
    <w:bookmarkStart w:id="25" w:name="vi.-conclusion"/>
    <w:p>
      <w:pPr>
        <w:pStyle w:val="Heading2"/>
      </w:pPr>
      <w:r>
        <w:t xml:space="preserve">VI. Conclusion</w:t>
      </w:r>
    </w:p>
    <w:p>
      <w:pPr>
        <w:pStyle w:val="FirstParagraph"/>
      </w:pPr>
      <w:r>
        <w:t xml:space="preserve">This laboratory report concludes that the</w:t>
      </w:r>
      <w:r>
        <w:t xml:space="preserve"> </w:t>
      </w:r>
      <w:r>
        <w:rPr>
          <w:bCs/>
          <w:b/>
        </w:rPr>
        <w:t xml:space="preserve">Education Administrator</w:t>
      </w:r>
      <w:r>
        <w:t xml:space="preserve"> </w:t>
      </w:r>
      <w:r>
        <w:t xml:space="preserve">is an indispensable component of the educational infrastructure in</w:t>
      </w:r>
      <w:r>
        <w:t xml:space="preserve"> </w:t>
      </w:r>
      <w:r>
        <w:rPr>
          <w:bCs/>
          <w:b/>
        </w:rPr>
        <w:t xml:space="preserve">Birmingham, United Kingdom</w:t>
      </w:r>
      <w:r>
        <w:t xml:space="preserve">. Far from being peripheral figures, these professionals ensure the legal, financial, and operational viability of educational institutions amidst a complex socio-political landscape. The unique demographic and economic factors of Birmingham necessitate a highly adaptable and skilled administrative workforce.</w:t>
      </w:r>
    </w:p>
    <w:p>
      <w:pPr>
        <w:pStyle w:val="BodyText"/>
      </w:pPr>
      <w:r>
        <w:t xml:space="preserve">To maintain high standards in education within this region, it is recommended that schools invest in continuous professional development for administrators, focusing on data analytics, safeguarding law updates, and intercultural communication. By recognizing the strategic value of the</w:t>
      </w:r>
      <w:r>
        <w:t xml:space="preserve"> </w:t>
      </w:r>
      <w:r>
        <w:rPr>
          <w:bCs/>
          <w:b/>
        </w:rPr>
        <w:t xml:space="preserve">Education Administrator</w:t>
      </w:r>
      <w:r>
        <w:t xml:space="preserve">, stakeholders in</w:t>
      </w:r>
      <w:r>
        <w:t xml:space="preserve"> </w:t>
      </w:r>
      <w:r>
        <w:rPr>
          <w:bCs/>
          <w:b/>
        </w:rPr>
        <w:t xml:space="preserve">United Kingdom Birmingham</w:t>
      </w:r>
      <w:r>
        <w:t xml:space="preserve"> </w:t>
      </w:r>
      <w:r>
        <w:t xml:space="preserve">can foster more resilient educational environments that better serve their diverse student populations.</w:t>
      </w:r>
    </w:p>
    <w:bookmarkEnd w:id="25"/>
    <w:bookmarkStart w:id="26" w:name="vii.-references"/>
    <w:p>
      <w:pPr>
        <w:pStyle w:val="Heading2"/>
      </w:pPr>
      <w:r>
        <w:t xml:space="preserve">VII. References</w:t>
      </w:r>
    </w:p>
    <w:p>
      <w:pPr>
        <w:pStyle w:val="FirstParagraph"/>
      </w:pPr>
      <w:r>
        <w:rPr>
          <w:iCs/>
          <w:i/>
        </w:rPr>
        <w:t xml:space="preserve">Note: For the purpose of this simulated report, references are generalized but reflect standard regulatory bodies and academic interests in UK education.</w:t>
      </w:r>
    </w:p>
    <w:p>
      <w:pPr>
        <w:numPr>
          <w:ilvl w:val="0"/>
          <w:numId w:val="1001"/>
        </w:numPr>
        <w:pStyle w:val="Compact"/>
      </w:pPr>
      <w:r>
        <w:t xml:space="preserve">DfE (Department for Education). (2023).</w:t>
      </w:r>
      <w:r>
        <w:t xml:space="preserve"> </w:t>
      </w:r>
      <w:r>
        <w:rPr>
          <w:bCs/>
          <w:b/>
        </w:rPr>
        <w:t xml:space="preserve">The National Funding Formula</w:t>
      </w:r>
      <w:r>
        <w:t xml:space="preserve">. UK Government Publications.</w:t>
      </w:r>
    </w:p>
    <w:p>
      <w:pPr>
        <w:numPr>
          <w:ilvl w:val="0"/>
          <w:numId w:val="1001"/>
        </w:numPr>
        <w:pStyle w:val="Compact"/>
      </w:pPr>
      <w:r>
        <w:t xml:space="preserve">Ofsted. (2022).</w:t>
      </w:r>
      <w:r>
        <w:t xml:space="preserve"> </w:t>
      </w:r>
      <w:r>
        <w:rPr>
          <w:bCs/>
          <w:b/>
        </w:rPr>
        <w:t xml:space="preserve">Education Inspection Framework</w:t>
      </w:r>
      <w:r>
        <w:t xml:space="preserve">. Office for Standards in Education, Children's Services and Skills.</w:t>
      </w:r>
    </w:p>
    <w:p>
      <w:pPr>
        <w:numPr>
          <w:ilvl w:val="0"/>
          <w:numId w:val="1001"/>
        </w:numPr>
        <w:pStyle w:val="Compact"/>
      </w:pPr>
      <w:r>
        <w:t xml:space="preserve">Birmingham City Council. (2023).</w:t>
      </w:r>
      <w:r>
        <w:t xml:space="preserve"> </w:t>
      </w:r>
      <w:r>
        <w:rPr>
          <w:bCs/>
          <w:b/>
        </w:rPr>
        <w:t xml:space="preserve">Local Offer: Special Educational Needs and Disability</w:t>
      </w:r>
      <w:r>
        <w:t xml:space="preserve">. West Midlands Regional Strategy.</w:t>
      </w:r>
    </w:p>
    <w:p>
      <w:pPr>
        <w:numPr>
          <w:ilvl w:val="0"/>
          <w:numId w:val="1001"/>
        </w:numPr>
        <w:pStyle w:val="Compact"/>
      </w:pPr>
      <w:r>
        <w:t xml:space="preserve">National Association of Head Teachers. (2021).</w:t>
      </w:r>
      <w:r>
        <w:t xml:space="preserve"> </w:t>
      </w:r>
      <w:r>
        <w:rPr>
          <w:bCs/>
          <w:b/>
        </w:rPr>
        <w:t xml:space="preserve">The Role of School Business Managers in Modern Education</w:t>
      </w:r>
      <w:r>
        <w:t xml:space="preserve">.</w:t>
      </w:r>
    </w:p>
    <w:p>
      <w:r>
        <w:pict>
          <v:rect style="width:0;height:1.5pt" o:hralign="center" o:hrstd="t" o:hr="t"/>
        </w:pict>
      </w:r>
    </w:p>
    <w:p>
      <w:pPr>
        <w:pStyle w:val="FirstParagraph"/>
      </w:pPr>
      <w:r>
        <w:rPr>
          <w:iCs/>
          <w:i/>
        </w:rPr>
        <w:t xml:space="preserve">This document has been prepared for academic review purposes regarding the administrative structures within United Kingdom Birmingham educational institutions.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Administration in United Kingdom Birmingham</dc:title>
  <dc:creator/>
  <dc:language>en</dc:language>
  <cp:keywords/>
  <dcterms:created xsi:type="dcterms:W3CDTF">2026-07-29T18:01:03Z</dcterms:created>
  <dcterms:modified xsi:type="dcterms:W3CDTF">2026-07-29T18:01:03Z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