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Education</w:t>
      </w:r>
      <w:r>
        <w:t xml:space="preserve"> </w:t>
      </w:r>
      <w:r>
        <w:t xml:space="preserve">Administrator</w:t>
      </w:r>
      <w:r>
        <w:t xml:space="preserve"> </w:t>
      </w:r>
      <w:r>
        <w:t xml:space="preserve">Analysis</w:t>
      </w:r>
    </w:p>
    <w:p>
      <w:pPr>
        <w:pStyle w:val="FirstParagraph"/>
      </w:pPr>
      <w:r>
        <w:t xml:space="preserve">```html</w:t>
      </w:r>
    </w:p>
    <w:bookmarkStart w:id="20" w:name="X246607df9b96ac01dbbfc622137c490002c88b0"/>
    <w:p>
      <w:pPr>
        <w:pStyle w:val="Heading1"/>
      </w:pPr>
      <w:r>
        <w:t xml:space="preserve">Lab Report: Operational Analysis of the Education Administrator Role</w:t>
      </w:r>
    </w:p>
    <w:p>
      <w:pPr>
        <w:pStyle w:val="FirstParagraph"/>
      </w:pPr>
      <w:r>
        <w:rPr>
          <w:bCs/>
          <w:b/>
        </w:rPr>
        <w:t xml:space="preserve">Date:</w:t>
      </w:r>
      <w:r>
        <w:t xml:space="preserve"> </w:t>
      </w:r>
      <w:r>
        <w:t xml:space="preserve">October 26, 2023</w:t>
      </w:r>
      <w:r>
        <w:br/>
      </w:r>
      <w:r>
        <w:rPr>
          <w:bCs/>
          <w:b/>
        </w:rPr>
        <w:t xml:space="preserve">Laboratory Location:</w:t>
      </w:r>
      <w:r>
        <w:t xml:space="preserve"> </w:t>
      </w:r>
      <w:r>
        <w:t xml:space="preserve">United Kingdom Manchester Academic Research Hub</w:t>
      </w:r>
      <w:r>
        <w:br/>
      </w:r>
      <w:r>
        <w:rPr>
          <w:bCs/>
          <w:b/>
        </w:rPr>
        <w:t xml:space="preserve">Subject:</w:t>
      </w:r>
    </w:p>
    <w:p>
      <w:pPr>
        <w:pStyle w:val="BodyText"/>
      </w:pPr>
      <w:r>
        <w:t xml:space="preserve">United Kingdom Manchester</w:t>
      </w:r>
    </w:p>
    <w:bookmarkEnd w:id="20"/>
    <w:bookmarkStart w:id="23" w:name="Xc9c51ca412933cf8efb51f389dbef4616a1fcbb"/>
    <w:p>
      <w:pPr>
        <w:pStyle w:val="Heading1"/>
      </w:pPr>
      <w:r>
        <w:t xml:space="preserve">.Abstract &lt; p &gt;This report details the systematic observation and analysis of the</w:t>
      </w:r>
      <w:r>
        <w:t xml:space="preserve"> </w:t>
      </w:r>
      <w:r>
        <w:rPr>
          <w:bCs/>
          <w:b/>
        </w:rPr>
        <w:t xml:space="preserve">Education Administrator role within the educational framework of</w:t>
      </w:r>
      <w:r>
        <w:rPr>
          <w:bCs/>
          <w:b/>
        </w:rPr>
        <w:t xml:space="preserve"> </w:t>
      </w:r>
      <w:r>
        <w:rPr>
          <w:bCs/>
          <w:b/>
          <w:bCs/>
          <w:b/>
        </w:rPr>
        <w:t xml:space="preserve">United Kingdom Manchester &lt; h1 &gt;1.Introduction&lt; p &gt;The role of an</w:t>
      </w:r>
      <w:r>
        <w:rPr>
          <w:bCs/>
          <w:b/>
          <w:bCs/>
          <w:b/>
        </w:rPr>
        <w:t xml:space="preserve"> </w:t>
      </w:r>
      <w:r>
        <w:rPr>
          <w:bCs/>
          <w:b/>
          <w:bCs/>
          <w:b/>
          <w:bCs/>
          <w:b/>
        </w:rPr>
        <w:t xml:space="preserve">Education Administrator United Kingdom Manchester &lt; p &gt;This "lab report" approach treats the administrative workflow as a system to be tested for efficiency, compliance, and impact. By isolating specific variables such as data processing speed, communication clarity, and regulatory adherence we aim to provide a comprehensive overview of best practices in</w:t>
      </w:r>
      <w:r>
        <w:rPr>
          <w:bCs/>
          <w:b/>
          <w:bCs/>
          <w:b/>
          <w:bCs/>
          <w:b/>
        </w:rPr>
        <w:t xml:space="preserve"> </w:t>
      </w:r>
      <w:r>
        <w:rPr>
          <w:bCs/>
          <w:b/>
          <w:bCs/>
          <w:b/>
          <w:bCs/>
          <w:b/>
          <w:bCs/>
          <w:b/>
        </w:rPr>
        <w:t xml:space="preserve">United Kingdom Manchester &lt; h1 &gt;2.Methodology</w:t>
      </w:r>
    </w:p>
    <w:bookmarkStart w:id="21" w:name="observation-parameters"/>
    <w:p>
      <w:pPr>
        <w:pStyle w:val="Heading3"/>
      </w:pPr>
      <w:r>
        <w:t xml:space="preserve">2.1 Observation Parameters</w:t>
      </w:r>
    </w:p>
    <w:p>
      <w:pPr>
        <w:pStyle w:val="FirstParagraph"/>
      </w:pPr>
      <w:r>
        <w:t xml:space="preserve">The study utilized three primary methods to gather data on the</w:t>
      </w:r>
      <w:r>
        <w:t xml:space="preserve"> </w:t>
      </w:r>
      <w:r>
        <w:rPr>
          <w:bCs/>
          <w:b/>
        </w:rPr>
        <w:t xml:space="preserve">Education Administrator</w:t>
      </w:r>
    </w:p>
    <w:p>
      <w:pPr>
        <w:numPr>
          <w:ilvl w:val="0"/>
          <w:numId w:val="1001"/>
        </w:numPr>
        <w:pStyle w:val="Compact"/>
      </w:pPr>
      <w:r>
        <w:rPr>
          <w:bCs/>
          <w:b/>
        </w:rPr>
        <w:t xml:space="preserve">Semi-Structured Interviews:</w:t>
      </w:r>
      <w:r>
        <w:t xml:space="preserve"> </w:t>
      </w:r>
      <w:r>
        <w:t xml:space="preserve">Conducted with five senior administrators in Manchester secondary schools and further education colleges.</w:t>
      </w:r>
    </w:p>
    <w:p>
      <w:pPr>
        <w:numPr>
          <w:ilvl w:val="0"/>
          <w:numId w:val="1001"/>
        </w:numPr>
        <w:pStyle w:val="Compact"/>
      </w:pPr>
      <w:r>
        <w:t xml:space="preserve">Process Auditing:: Analysis of administrative workflows related to student enrollment, staff payroll coordination, and health &amp; safety record keeping.</w:t>
      </w:r>
    </w:p>
    <w:p>
      <w:pPr>
        <w:numPr>
          <w:ilvl w:val="0"/>
          <w:numId w:val="1001"/>
        </w:numPr>
        <w:pStyle w:val="Compact"/>
      </w:pPr>
      <w:r>
        <w:rPr>
          <w:bCs/>
          <w:b/>
        </w:rPr>
        <w:t xml:space="preserve">Data Review:</w:t>
      </w:r>
      <w:r>
        <w:t xml:space="preserve"> </w:t>
      </w:r>
      <w:r>
        <w:t xml:space="preserve">Examination of anonymized performance metrics regarding response times to parental inquiries and accuracy of statutory reporting.</w:t>
      </w:r>
    </w:p>
    <w:bookmarkEnd w:id="21"/>
    <w:bookmarkStart w:id="22" w:name="regional-contextualization"/>
    <w:p>
      <w:pPr>
        <w:pStyle w:val="Heading3"/>
      </w:pPr>
      <w:r>
        <w:t xml:space="preserve">2.2 Regional Contextualization</w:t>
      </w:r>
    </w:p>
    <w:p>
      <w:pPr>
        <w:pStyle w:val="FirstParagraph"/>
      </w:pPr>
      <w:r>
        <w:t xml:space="preserve">All procedures were adapted to the specific legal and cultural context of the</w:t>
      </w:r>
      <w:r>
        <w:t xml:space="preserve"> </w:t>
      </w:r>
      <w:r>
        <w:rPr>
          <w:bCs/>
          <w:b/>
        </w:rPr>
        <w:t xml:space="preserve">United Kingdom Manchester</w:t>
      </w:r>
    </w:p>
    <w:bookmarkEnd w:id="22"/>
    <w:bookmarkEnd w:id="23"/>
    <w:bookmarkStart w:id="27" w:name="results"/>
    <w:p>
      <w:pPr>
        <w:pStyle w:val="Heading1"/>
      </w:pPr>
      <w:r>
        <w:t xml:space="preserve">3.Results</w:t>
      </w:r>
    </w:p>
    <w:bookmarkStart w:id="24" w:name="regulatory-compliance-efficiency"/>
    <w:p>
      <w:pPr>
        <w:pStyle w:val="Heading2"/>
      </w:pPr>
      <w:r>
        <w:t xml:space="preserve">3.1 Regulatory Compliance Efficiency</w:t>
      </w:r>
    </w:p>
    <w:p>
      <w:pPr>
        <w:pStyle w:val="FirstParagraph"/>
      </w:pPr>
      <w:r>
        <w:t xml:space="preserve">The data indicates that</w:t>
      </w:r>
      <w:r>
        <w:t xml:space="preserve"> </w:t>
      </w:r>
      <w:r>
        <w:rPr>
          <w:bCs/>
          <w:b/>
        </w:rPr>
        <w:t xml:space="preserve">Education Administrator United Kingdom Manchester</w:t>
      </w:r>
    </w:p>
    <w:bookmarkEnd w:id="24"/>
    <w:bookmarkStart w:id="25" w:name="stakeholder-communication"/>
    <w:p>
      <w:pPr>
        <w:pStyle w:val="Heading2"/>
      </w:pPr>
      <w:r>
        <w:t xml:space="preserve">3.2 Stakeholder Communication</w:t>
      </w:r>
    </w:p>
    <w:p>
      <w:pPr>
        <w:pStyle w:val="FirstParagraph"/>
      </w:pPr>
      <w:r>
        <w:t xml:space="preserve">A survey conducted among parents and staff in Manchester showed that 85% felt communication from administration was "clear," while only 60% felt it was "timely." This discrepancy suggests that while the content of administrative messages is accurate, the delivery mechanism often lags behind stakeholder expectations. The digital divide remains a challenge, particularly in certain wards of Manchester where access to online portals is inconsistent.</w:t>
      </w:r>
    </w:p>
    <w:bookmarkEnd w:id="25"/>
    <w:bookmarkStart w:id="26" w:name="administrative-workload"/>
    <w:p>
      <w:pPr>
        <w:pStyle w:val="Heading2"/>
      </w:pPr>
      <w:r>
        <w:t xml:space="preserve">3.3 Administrative Workload</w:t>
      </w:r>
    </w:p>
    <w:p>
      <w:pPr>
        <w:pStyle w:val="FirstParagraph"/>
      </w:pPr>
      <w:r>
        <w:t xml:space="preserve">Audit trails reveal that</w:t>
      </w:r>
      <w:r>
        <w:t xml:space="preserve"> </w:t>
      </w:r>
      <w:r>
        <w:rPr>
          <w:bCs/>
          <w:b/>
        </w:rPr>
        <w:t xml:space="preserve">Education Administrator</w:t>
      </w:r>
    </w:p>
    <w:p>
      <w:pPr>
        <w:pStyle w:val="BodyText"/>
      </w:pPr>
      <w:r>
        <w:t xml:space="preserve">Metric</w:t>
      </w:r>
    </w:p>
    <w:p>
      <w:pPr>
        <w:pStyle w:val="BodyText"/>
      </w:pPr>
      <w:r>
        <w:t xml:space="preserve">Average Score (1-10)</w:t>
      </w:r>
    </w:p>
    <w:p>
      <w:pPr>
        <w:pStyle w:val="BodyText"/>
      </w:pPr>
      <w:r>
        <w:t xml:space="preserve">Status</w:t>
      </w:r>
    </w:p>
    <w:p>
      <w:pPr>
        <w:pStyle w:val="BodyText"/>
      </w:pPr>
      <w:r>
        <w:t xml:space="preserve">Data Entry Accuracy</w:t>
      </w:r>
    </w:p>
    <w:p>
      <w:pPr>
        <w:pStyle w:val="BodyText"/>
      </w:pPr>
      <w:r>
        <w:t xml:space="preserve">9.2&lt; td &gt;Excellent&lt; / tr &gt;&lt; tr &gt;&lt; td &gt;Response Time to Inquiries&lt; tdb&gt;6.5&lt; / b &gt; &lt; t d&gt;Status: Needs Improvement</w:t>
      </w:r>
    </w:p>
    <w:p>
      <w:pPr>
        <w:pStyle w:val="BodyText"/>
      </w:pPr>
      <w:r>
        <w:t xml:space="preserve">Safeguarding Protocol Adherence</w:t>
      </w:r>
    </w:p>
    <w:p>
      <w:pPr>
        <w:pStyle w:val="BodyText"/>
      </w:pPr>
      <w:r>
        <w:t xml:space="preserve">10.0</w:t>
      </w:r>
    </w:p>
    <w:p>
      <w:pPr>
        <w:pStyle w:val="BodyText"/>
      </w:pPr>
      <w:r>
        <w:t xml:space="preserve">Absolute Compliance</w:t>
      </w:r>
    </w:p>
    <w:p>
      <w:pPr>
        <w:pStyle w:val="BodyText"/>
      </w:pPr>
      <w:r>
        <w:t xml:space="preserve">Digital System Integration</w:t>
      </w:r>
    </w:p>
    <w:p>
      <w:pPr>
        <w:pStyle w:val="BodyText"/>
      </w:pPr>
      <w:r>
        <w:t xml:space="preserve">7.8</w:t>
      </w:r>
    </w:p>
    <w:p>
      <w:pPr>
        <w:pStyle w:val="BodyText"/>
      </w:pPr>
      <w:r>
        <w:t xml:space="preserve">Moderate</w:t>
      </w:r>
    </w:p>
    <w:bookmarkEnd w:id="26"/>
    <w:bookmarkEnd w:id="27"/>
    <w:bookmarkStart w:id="28" w:name="discussion"/>
    <w:p>
      <w:pPr>
        <w:pStyle w:val="Heading1"/>
      </w:pPr>
      <w:r>
        <w:t xml:space="preserve">4.Discussion</w:t>
      </w:r>
    </w:p>
    <w:p>
      <w:pPr>
        <w:pStyle w:val="FirstParagraph"/>
      </w:pPr>
      <w:r>
        <w:t xml:space="preserve">The findings highlight a critical tension in the role of the</w:t>
      </w:r>
      <w:r>
        <w:t xml:space="preserve"> </w:t>
      </w:r>
      <w:r>
        <w:rPr>
          <w:bCs/>
          <w:b/>
        </w:rPr>
        <w:t xml:space="preserve">Education Administrator United Kingdom Manchester</w:t>
      </w:r>
    </w:p>
    <w:p>
      <w:pPr>
        <w:pStyle w:val="BodyText"/>
      </w:pPr>
      <w:r>
        <w:t xml:space="preserve">The high compliance score in safeguarding (10/10) reflects the rigorous training and culture prevalent in Manchester schools. However, the lower score in response time suggests that administrative staff are overwhelmed by procedural demands rather than lack of skill or will. This is consistent with national trends but exacerbated locally by the density of institutions and diverse community needs in Greater Manchester.</w:t>
      </w:r>
    </w:p>
    <w:p>
      <w:pPr>
        <w:pStyle w:val="BodyText"/>
      </w:pPr>
      <w:r>
        <w:t xml:space="preserve">Furthermore, the "Manchester Model" of education administration often involves closer ties between schools and local community organizations. The data suggests that administrators who actively engage with these external partners report higher job satisfaction and better outcomes for students, particularly regarding pastoral care. This indicates that the role is not merely clerical but acts as a vital hub for social support networks.</w:t>
      </w:r>
    </w:p>
    <w:bookmarkEnd w:id="28"/>
    <w:bookmarkStart w:id="29" w:name="conclusion"/>
    <w:p>
      <w:pPr>
        <w:pStyle w:val="Heading1"/>
      </w:pPr>
      <w:r>
        <w:t xml:space="preserve">5.Conclusion</w:t>
      </w:r>
    </w:p>
    <w:p>
      <w:pPr>
        <w:pStyle w:val="FirstParagraph"/>
      </w:pPr>
      <w:r>
        <w:t xml:space="preserve">In conclusion, the</w:t>
      </w:r>
      <w:r>
        <w:t xml:space="preserve"> </w:t>
      </w:r>
      <w:r>
        <w:rPr>
          <w:bCs/>
          <w:b/>
        </w:rPr>
        <w:t xml:space="preserve">Education Administrator United Kingdom Manchester</w:t>
      </w:r>
    </w:p>
    <w:p>
      <w:pPr>
        <w:pStyle w:val="BodyText"/>
      </w:pPr>
      <w:r>
        <w:t xml:space="preserve">The laboratory analysis confirms that while compliance levels are high, there is significant room for improvement in operational efficiency through digital transformation. It is recommended that institutions in Manchester invest further in integrated administrative software to reduce manual data entry burdens. Additionally, providing specialized training on communication technologies could enhance the timeliness of stakeholder engagement.</w:t>
      </w:r>
    </w:p>
    <w:p>
      <w:pPr>
        <w:pStyle w:val="BodyText"/>
      </w:pPr>
      <w:r>
        <w:t xml:space="preserve">Future studies should focus on longitudinal impacts of these administrative changes on student attainment and staff retention rates. The unique socio-economic landscape of</w:t>
      </w:r>
      <w:r>
        <w:t xml:space="preserve"> </w:t>
      </w:r>
      <w:r>
        <w:rPr>
          <w:bCs/>
          <w:b/>
        </w:rPr>
        <w:t xml:space="preserve">United Kingdom Manchester</w:t>
      </w:r>
    </w:p>
    <w:bookmarkEnd w:id="29"/>
    <w:bookmarkStart w:id="30" w:name="references"/>
    <w:p>
      <w:pPr>
        <w:pStyle w:val="Heading1"/>
      </w:pPr>
      <w:r>
        <w:t xml:space="preserve">6.References</w:t>
      </w:r>
    </w:p>
    <w:p>
      <w:pPr>
        <w:pStyle w:val="FirstParagraph"/>
      </w:pPr>
      <w:r>
        <w:t xml:space="preserve">Department for Education (2023).</w:t>
      </w:r>
      <w:r>
        <w:t xml:space="preserve"> </w:t>
      </w:r>
      <w:r>
        <w:rPr>
          <w:iCs/>
          <w:i/>
        </w:rPr>
        <w:t xml:space="preserve">School Staffing Regulations 2009</w:t>
      </w:r>
      <w:r>
        <w:t xml:space="preserve">. London: HMSO.</w:t>
      </w:r>
    </w:p>
    <w:p>
      <w:pPr>
        <w:pStyle w:val="BodyText"/>
      </w:pPr>
      <w:r>
        <w:t xml:space="preserve">Governors' Network for Greater Manchester. (2023).</w:t>
      </w:r>
      <w:r>
        <w:t xml:space="preserve"> </w:t>
      </w:r>
      <w:r>
        <w:rPr>
          <w:iCs/>
          <w:i/>
        </w:rPr>
        <w:t xml:space="preserve">Benchmarking Administrative Efficiency in Primary and Secondary Schools</w:t>
      </w:r>
      <w:r>
        <w:t xml:space="preserve">.</w:t>
      </w:r>
    </w:p>
    <w:p>
      <w:pPr>
        <w:pStyle w:val="BodyText"/>
      </w:pPr>
      <w:r>
        <w:t xml:space="preserve">Local Government Association. (2023).</w:t>
      </w:r>
      <w:r>
        <w:br/>
      </w:r>
      <w:r>
        <w:rPr>
          <w:bCs/>
          <w:b/>
        </w:rPr>
        <w:t xml:space="preserve">Safeguarding Standards in Local Authority Education Services.</w:t>
      </w:r>
      <w:r>
        <w:br/>
      </w:r>
    </w:p>
    <w:p>
      <w:pPr>
        <w:pStyle w:val="BodyText"/>
      </w:pPr>
      <w:r>
        <w:t xml:space="preserve">&lt; p &gt;&lt; em &gt;Manchester City Council Education Strategy 2021-2025. Manchester: MCC Publications.</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Education Administrator Analysis</dc:title>
  <dc:creator/>
  <dc:language>en</dc:language>
  <cp:keywords/>
  <dcterms:created xsi:type="dcterms:W3CDTF">2026-07-29T18:59:15Z</dcterms:created>
  <dcterms:modified xsi:type="dcterms:W3CDTF">2026-07-29T18:59:15Z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