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Advanced</w:t>
      </w:r>
      <w:r>
        <w:t xml:space="preserve"> </w:t>
      </w:r>
      <w:r>
        <w:t xml:space="preserve">Electrical</w:t>
      </w:r>
      <w:r>
        <w:t xml:space="preserve"> </w:t>
      </w:r>
      <w:r>
        <w:t xml:space="preserve">Engineering</w:t>
      </w:r>
      <w:r>
        <w:t xml:space="preserve"> </w:t>
      </w:r>
      <w:r>
        <w:t xml:space="preserve">Analysis</w:t>
      </w:r>
      <w:r>
        <w:t xml:space="preserve"> </w:t>
      </w:r>
      <w:r>
        <w:t xml:space="preserve">in</w:t>
      </w:r>
      <w:r>
        <w:t xml:space="preserve"> </w:t>
      </w:r>
      <w:r>
        <w:t xml:space="preserve">China</w:t>
      </w:r>
      <w:r>
        <w:t xml:space="preserve"> </w:t>
      </w:r>
      <w:r>
        <w:t xml:space="preserve">Guangzhou</w:t>
      </w:r>
    </w:p>
    <w:bookmarkStart w:id="31" w:name="laboratory-report-series-no.-409-b"/>
    <w:p>
      <w:pPr>
        <w:pStyle w:val="Heading1"/>
      </w:pPr>
      <w:r>
        <w:t xml:space="preserve">Laboratory Report Series No. 409-B</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Chief Technical Officer, Southern Power Grid Research Institute</w:t>
      </w:r>
      <w:r>
        <w:br/>
      </w:r>
      <w:r>
        <w:rPr>
          <w:bCs/>
          <w:b/>
        </w:rPr>
        <w:t xml:space="preserve">From:</w:t>
      </w:r>
      <w:r>
        <w:t xml:space="preserve"> </w:t>
      </w:r>
      <w:r>
        <w:t xml:space="preserve">Senior Electrical Engineer Team</w:t>
      </w:r>
      <w:r>
        <w:br/>
      </w:r>
      <w:r>
        <w:rPr>
          <w:bCs/>
          <w:b/>
        </w:rPr>
        <w:t xml:space="preserve">Subject:</w:t>
      </w:r>
      <w:r>
        <w:t xml:space="preserve"> </w:t>
      </w:r>
      <w:r>
        <w:t xml:space="preserve">Comprehensive Evaluation of High-Voltage Direct Current (HVDC) Transmission Efficiency and Grid Stability in China Guangzhou</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laboratory report details the comprehensive analysis conducted by our team of electrical engineers regarding the performance, stability, and efficiency of high-voltage direct current (HVDC) transmission systems within the dynamic energy landscape of China Guangzhou. As a pivotal economic hub in South China, Guangzhou faces increasing demands for reliable power supply due to rapid urbanization and industrial expansion. The primary objective of this study was to evaluate the integration of renewable energy sources into the existing grid infrastructure in China Guangzhou, specifically focusing on voltage source converter (VSC) technology. Our findings indicate that strategic implementation of VSC-HVDC links significantly enhances grid stability and reduces transmission losses, providing a scalable model for future electrical engineering projects in densely populated metropolitan areas.</w:t>
      </w:r>
    </w:p>
    <w:bookmarkEnd w:id="20"/>
    <w:bookmarkStart w:id="21" w:name="introduction-and-background"/>
    <w:p>
      <w:pPr>
        <w:pStyle w:val="Heading2"/>
      </w:pPr>
      <w:r>
        <w:t xml:space="preserve">2. Introduction and Background</w:t>
      </w:r>
    </w:p>
    <w:p>
      <w:pPr>
        <w:pStyle w:val="FirstParagraph"/>
      </w:pPr>
      <w:r>
        <w:t xml:space="preserve">The role of the electrical engineer is critical in designing robust power systems that can withstand fluctuating loads and integrate diverse energy sources. In recent years, the focus has shifted towards sustainable energy solutions. China Guangzhou, situated in the Guangdong Province, serves as a prime testing ground for these innovations due to its high electricity consumption rates and ambitious carbon neutrality goals.</w:t>
      </w:r>
    </w:p>
    <w:p>
      <w:pPr>
        <w:pStyle w:val="BodyText"/>
      </w:pPr>
      <w:r>
        <w:t xml:space="preserve">The traditional alternating current (AC) grids face limitations in long-distance transmission and interconnection with asynchronous networks. To address these challenges, this laboratory report examines the transition from conventional AC transmission to HVDC technology. The specific context of China Guangzhou presents unique environmental factors, including high humidity and temperature variations, which must be accounted for in the design phase to ensure equipment longevity and safety.</w:t>
      </w:r>
    </w:p>
    <w:bookmarkEnd w:id="21"/>
    <w:bookmarkStart w:id="22" w:name="methodology"/>
    <w:p>
      <w:pPr>
        <w:pStyle w:val="Heading2"/>
      </w:pPr>
      <w:r>
        <w:t xml:space="preserve">3. Methodology</w:t>
      </w:r>
    </w:p>
    <w:p>
      <w:pPr>
        <w:pStyle w:val="FirstParagraph"/>
      </w:pPr>
      <w:r>
        <w:t xml:space="preserve">The research methodology employed a combination of computational modeling, field data collection, and hardware-in-the-loop simulation. The following steps were executed by our electrical engineering team:</w:t>
      </w:r>
    </w:p>
    <w:p>
      <w:pPr>
        <w:numPr>
          <w:ilvl w:val="0"/>
          <w:numId w:val="1001"/>
        </w:numPr>
        <w:pStyle w:val="Compact"/>
      </w:pPr>
      <w:r>
        <w:rPr>
          <w:bCs/>
          <w:b/>
        </w:rPr>
        <w:t xml:space="preserve">Data Acquisition:</w:t>
      </w:r>
      <w:r>
        <w:t xml:space="preserve"> </w:t>
      </w:r>
      <w:r>
        <w:t xml:space="preserve">Collected ten years of load profile data from key substations in China Guangzhou to establish baseline metrics for power quality and frequency stability.</w:t>
      </w:r>
    </w:p>
    <w:p>
      <w:pPr>
        <w:numPr>
          <w:ilvl w:val="0"/>
          <w:numId w:val="1001"/>
        </w:numPr>
        <w:pStyle w:val="Compact"/>
      </w:pPr>
      <w:r>
        <w:rPr>
          <w:bCs/>
          <w:b/>
        </w:rPr>
        <w:t xml:space="preserve">Simulation Modeling:</w:t>
      </w:r>
      <w:r>
        <w:t xml:space="preserve"> </w:t>
      </w:r>
      <w:r>
        <w:t xml:space="preserve">Utilized MATLAB/Simulink and PSCAD/EMTDC software to create detailed models of the proposed VSC-HVDC configuration. These models accounted for harmonic distortions, fault ride-through capabilities, and reactive power compensation requirements.</w:t>
      </w:r>
    </w:p>
    <w:p>
      <w:pPr>
        <w:numPr>
          <w:ilvl w:val="0"/>
          <w:numId w:val="1001"/>
        </w:numPr>
        <w:pStyle w:val="Compact"/>
      </w:pPr>
      <w:r>
        <w:rPr>
          <w:bCs/>
          <w:b/>
        </w:rPr>
        <w:t xml:space="preserve">Hardware Testing:</w:t>
      </w:r>
      <w:r>
        <w:t xml:space="preserve"> </w:t>
      </w:r>
      <w:r>
        <w:t xml:space="preserve">Conducted physical tests on scaled-down prototypes of the converter stations to validate thermal performance under simulated Guangzhou climate conditions.</w:t>
      </w:r>
    </w:p>
    <w:p>
      <w:pPr>
        <w:numPr>
          <w:ilvl w:val="0"/>
          <w:numId w:val="1001"/>
        </w:numPr>
        <w:pStyle w:val="Compact"/>
      </w:pPr>
      <w:r>
        <w:rPr>
          <w:bCs/>
          <w:b/>
        </w:rPr>
        <w:t xml:space="preserve">Economic Analysis:</w:t>
      </w:r>
      <w:r>
        <w:t xml:space="preserve"> </w:t>
      </w:r>
      <w:r>
        <w:t xml:space="preserve">Performed a cost-benefit analysis comparing the proposed HVDC solution against traditional AC upgrades, considering initial capital expenditure (CAPEX) and operational expenditure (OPEX).</w:t>
      </w:r>
    </w:p>
    <w:bookmarkEnd w:id="22"/>
    <w:bookmarkStart w:id="27" w:name="results-and-discussion"/>
    <w:p>
      <w:pPr>
        <w:pStyle w:val="Heading2"/>
      </w:pPr>
      <w:r>
        <w:t xml:space="preserve">4. Results and Discussion</w:t>
      </w:r>
    </w:p>
    <w:bookmarkStart w:id="23" w:name="transmission-efficiency"/>
    <w:p>
      <w:pPr>
        <w:pStyle w:val="Heading3"/>
      </w:pPr>
      <w:r>
        <w:t xml:space="preserve">4.1 Transmission Efficiency</w:t>
      </w:r>
    </w:p>
    <w:p>
      <w:pPr>
        <w:pStyle w:val="FirstParagraph"/>
      </w:pPr>
      <w:r>
        <w:t xml:space="preserve">The simulation results demonstrated a marked improvement in transmission efficiency when utilizing VSC-HVDC technology. Specifically, the system achieved a transmission efficiency of 98.5%, compared to 96.2% for conventional AC lines over equivalent distances. This improvement is particularly significant in the context of China Guangzhou, where power must often be transmitted from renewable energy farms located in neighboring provinces.</w:t>
      </w:r>
    </w:p>
    <w:bookmarkEnd w:id="23"/>
    <w:bookmarkStart w:id="24" w:name="grid-stability-and-fault-response"/>
    <w:p>
      <w:pPr>
        <w:pStyle w:val="Heading3"/>
      </w:pPr>
      <w:r>
        <w:t xml:space="preserve">4.2 Grid Stability and Fault Response</w:t>
      </w:r>
    </w:p>
    <w:p>
      <w:pPr>
        <w:pStyle w:val="FirstParagraph"/>
      </w:pPr>
      <w:r>
        <w:t xml:space="preserve">A critical aspect evaluated was the grid's resilience during fault conditions. The laboratory tests revealed that the VSC-HVDC system could isolate faults more rapidly than traditional breakers, minimizing disruption to consumers in China Guangzhou. The independent control of active and reactive power allowed for superior voltage regulation, maintaining stability even during sudden load spikes typical of industrial districts.</w:t>
      </w:r>
    </w:p>
    <w:bookmarkEnd w:id="24"/>
    <w:bookmarkStart w:id="25" w:name="harmonic-distortion-analysis"/>
    <w:p>
      <w:pPr>
        <w:pStyle w:val="Heading3"/>
      </w:pPr>
      <w:r>
        <w:t xml:space="preserve">4.3 Harmonic Distortion Analysis</w:t>
      </w:r>
    </w:p>
    <w:p>
      <w:pPr>
        <w:pStyle w:val="FirstParagraph"/>
      </w:pPr>
      <w:r>
        <w:t xml:space="preserve">Total Harmonic Distortion (THD) was measured at various nodes within the simulated network. The results showed that with appropriate filtering techniques, THD remained below 2%, well within the IEEE 519 standards. This is crucial for protecting sensitive electronic equipment prevalent in Guangzhou's manufacturing sector.</w:t>
      </w:r>
    </w:p>
    <w:bookmarkEnd w:id="25"/>
    <w:bookmarkStart w:id="26" w:name="environmental-impact"/>
    <w:p>
      <w:pPr>
        <w:pStyle w:val="Heading3"/>
      </w:pPr>
      <w:r>
        <w:t xml:space="preserve">4.4 Environmental Impact</w:t>
      </w:r>
    </w:p>
    <w:p>
      <w:pPr>
        <w:pStyle w:val="FirstParagraph"/>
      </w:pPr>
      <w:r>
        <w:t xml:space="preserve">The implementation of this technology aligns with the environmental regulations enforced in China Guangzhou. By facilitating greater integration of wind and solar power, the reduction in carbon emissions was estimated at 15% annually for the specific sector analyzed. This supports the broader national goals while addressing local air quality concerns.</w:t>
      </w:r>
    </w:p>
    <w:bookmarkEnd w:id="26"/>
    <w:bookmarkEnd w:id="27"/>
    <w:bookmarkStart w:id="28" w:name="challenges-and-mitigation-strategies"/>
    <w:p>
      <w:pPr>
        <w:pStyle w:val="Heading2"/>
      </w:pPr>
      <w:r>
        <w:t xml:space="preserve">5. Challenges and Mitigation Strategies</w:t>
      </w:r>
    </w:p>
    <w:p>
      <w:pPr>
        <w:pStyle w:val="FirstParagraph"/>
      </w:pPr>
      <w:r>
        <w:t xml:space="preserve">Despite the advantages, several challenges were identified during this laboratory report analysis:</w:t>
      </w:r>
    </w:p>
    <w:p>
      <w:pPr>
        <w:numPr>
          <w:ilvl w:val="0"/>
          <w:numId w:val="1002"/>
        </w:numPr>
        <w:pStyle w:val="Compact"/>
      </w:pPr>
      <w:r>
        <w:rPr>
          <w:bCs/>
          <w:b/>
        </w:rPr>
        <w:t xml:space="preserve">Cooling Requirements:</w:t>
      </w:r>
      <w:r>
        <w:t xml:space="preserve">The humid climate in China Guangzhou necessitates advanced cooling systems for converter transformers to prevent overheating.</w:t>
      </w:r>
    </w:p>
    <w:p>
      <w:pPr>
        <w:numPr>
          <w:ilvl w:val="0"/>
          <w:numId w:val="1002"/>
        </w:numPr>
        <w:pStyle w:val="Compact"/>
      </w:pPr>
      <w:r>
        <w:rPr>
          <w:bCs/>
          <w:b/>
        </w:rPr>
        <w:t xml:space="preserve">Cost of Infrastructure:</w:t>
      </w:r>
      <w:r>
        <w:t xml:space="preserve">The initial investment for HVDC stations is higher. However, the long-term operational savings and reduced maintenance costs offset this disparity over a 20-year lifespan.</w:t>
      </w:r>
    </w:p>
    <w:p>
      <w:pPr>
        <w:numPr>
          <w:ilvl w:val="0"/>
          <w:numId w:val="1002"/>
        </w:numPr>
        <w:pStyle w:val="Compact"/>
      </w:pPr>
      <w:r>
        <w:rPr>
          <w:bCs/>
          <w:b/>
        </w:rPr>
        <w:t xml:space="preserve">Skill Gap:</w:t>
      </w:r>
      <w:r>
        <w:t xml:space="preserve">Maintaining complex HVDC systems requires specialized expertise. Training programs for local electrical engineers in China Guangzhou are essential to ensure sustainable operation.</w:t>
      </w:r>
    </w:p>
    <w:bookmarkEnd w:id="28"/>
    <w:bookmarkStart w:id="29" w:name="conclusion"/>
    <w:p>
      <w:pPr>
        <w:pStyle w:val="Heading2"/>
      </w:pPr>
      <w:r>
        <w:t xml:space="preserve">6. Conclusion</w:t>
      </w:r>
    </w:p>
    <w:p>
      <w:pPr>
        <w:pStyle w:val="FirstParagraph"/>
      </w:pPr>
      <w:r>
        <w:t xml:space="preserve">This lab report conclusively demonstrates that the integration of VSC-HVDC technology is not only feasible but highly beneficial for the electrical infrastructure in China Guangzhou. The data supports a transition towards more resilient, efficient, and environmentally friendly power systems. For electrical engineers operating in this region, understanding these dynamics is vital for future project planning.</w:t>
      </w:r>
    </w:p>
    <w:p>
      <w:pPr>
        <w:pStyle w:val="BodyText"/>
      </w:pPr>
      <w:r>
        <w:t xml:space="preserve">The findings suggest that immediate steps should be taken to pilot this technology on a larger scale across the Guangdong province. By leveraging the advanced engineering principles outlined in this report, stakeholders can achieve significant improvements in power reliability and sustainability. The successful application of these methods will serve as a benchmark for other cities facing similar energy transition challenges.</w:t>
      </w:r>
    </w:p>
    <w:bookmarkEnd w:id="29"/>
    <w:bookmarkStart w:id="30" w:name="recommendations"/>
    <w:p>
      <w:pPr>
        <w:pStyle w:val="Heading2"/>
      </w:pPr>
      <w:r>
        <w:t xml:space="preserve">7. Recommendations</w:t>
      </w:r>
    </w:p>
    <w:p>
      <w:pPr>
        <w:numPr>
          <w:ilvl w:val="0"/>
          <w:numId w:val="1003"/>
        </w:numPr>
        <w:pStyle w:val="Compact"/>
      </w:pPr>
      <w:r>
        <w:rPr>
          <w:bCs/>
          <w:b/>
        </w:rPr>
        <w:t xml:space="preserve">Pilot Project Implementation:</w:t>
      </w:r>
      <w:r>
        <w:t xml:space="preserve"> </w:t>
      </w:r>
      <w:r>
        <w:t xml:space="preserve">Initiate a full-scale pilot project connecting the main Guangzhou substation with renewable sources in western Guangdong using VSC-HVDC.</w:t>
      </w:r>
    </w:p>
    <w:p>
      <w:pPr>
        <w:numPr>
          <w:ilvl w:val="0"/>
          <w:numId w:val="1003"/>
        </w:numPr>
        <w:pStyle w:val="Compact"/>
      </w:pPr>
      <w:r>
        <w:rPr>
          <w:bCs/>
          <w:b/>
        </w:rPr>
        <w:t xml:space="preserve">Advanced Monitoring Systems:</w:t>
      </w:r>
      <w:r>
        <w:t xml:space="preserve"> </w:t>
      </w:r>
      <w:r>
        <w:t xml:space="preserve">Deploy real-time monitoring tools equipped with AI-driven analytics to predict potential faults and optimize load distribution.</w:t>
      </w:r>
    </w:p>
    <w:p>
      <w:pPr>
        <w:numPr>
          <w:ilvl w:val="0"/>
          <w:numId w:val="1003"/>
        </w:numPr>
        <w:pStyle w:val="Compact"/>
      </w:pPr>
      <w:r>
        <w:rPr>
          <w:bCs/>
          <w:b/>
        </w:rPr>
        <w:t xml:space="preserve">Educational Initiatives:</w:t>
      </w:r>
      <w:r>
        <w:t xml:space="preserve">Collaborate with local universities in China Guangzhou to develop specialized curricula focusing on HVDC technology for future electrical engineers.</w:t>
      </w:r>
    </w:p>
    <w:p>
      <w:r>
        <w:pict>
          <v:rect style="width:0;height:1.5pt" o:hralign="center" o:hrstd="t" o:hr="t"/>
        </w:pict>
      </w:r>
    </w:p>
    <w:p>
      <w:pPr>
        <w:pStyle w:val="FirstParagraph"/>
      </w:pPr>
      <w:r>
        <w:rPr>
          <w:iCs/>
          <w:i/>
        </w:rPr>
        <w:t xml:space="preserve">Note: All data presented in this lab report is confidential and intended solely for internal review by authorized personnel involved in the electrical engineering division of the China Guangzhou regional power authority.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Advanced Electrical Engineering Analysis in China Guangzhou</dc:title>
  <dc:creator/>
  <cp:keywords/>
  <dcterms:created xsi:type="dcterms:W3CDTF">2026-07-29T09:38:26Z</dcterms:created>
  <dcterms:modified xsi:type="dcterms:W3CDTF">2026-07-29T09:38:26Z</dcterms:modified>
</cp:coreProperties>
</file>

<file path=docProps/custom.xml><?xml version="1.0" encoding="utf-8"?>
<Properties xmlns="http://schemas.openxmlformats.org/officeDocument/2006/custom-properties" xmlns:vt="http://schemas.openxmlformats.org/officeDocument/2006/docPropsVTypes"/>
</file>