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Electronics</w:t>
      </w:r>
      <w:r>
        <w:t xml:space="preserve"> </w:t>
      </w:r>
      <w:r>
        <w:t xml:space="preserve">Engineering</w:t>
      </w:r>
      <w:r>
        <w:t xml:space="preserve"> </w:t>
      </w:r>
      <w:r>
        <w:t xml:space="preserve">Lab</w:t>
      </w:r>
      <w:r>
        <w:t xml:space="preserve"> </w:t>
      </w:r>
      <w:r>
        <w:t xml:space="preserve">Report</w:t>
      </w:r>
      <w:r>
        <w:t xml:space="preserve"> </w:t>
      </w:r>
      <w:r>
        <w:t xml:space="preserve">-</w:t>
      </w:r>
      <w:r>
        <w:t xml:space="preserve"> </w:t>
      </w:r>
      <w:r>
        <w:t xml:space="preserve">Melbourne</w:t>
      </w:r>
      <w:r>
        <w:t xml:space="preserve"> </w:t>
      </w:r>
      <w:r>
        <w:t xml:space="preserve">Context</w:t>
      </w:r>
    </w:p>
    <w:bookmarkStart w:id="20" w:name="electronics-engineering-lab-report"/>
    <w:p>
      <w:pPr>
        <w:pStyle w:val="Heading1"/>
      </w:pPr>
      <w:r>
        <w:t xml:space="preserve">ELECTRONICS ENGINEERING LAB REPORT</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Victorian Institute of Technology (VIT), Melbourne Campus</w:t>
      </w:r>
      <w:r>
        <w:br/>
      </w:r>
      <w:r>
        <w:rPr>
          <w:bCs/>
          <w:b/>
        </w:rPr>
        <w:t xml:space="preserve">Cohort:</w:t>
      </w:r>
      <w:r>
        <w:t xml:space="preserve"> </w:t>
      </w:r>
      <w:r>
        <w:t xml:space="preserve">Bachelor of Engineering (Honours) in Electrical and Electronics</w:t>
      </w:r>
    </w:p>
    <w:bookmarkEnd w:id="20"/>
    <w:bookmarkStart w:id="21" w:name="executive-summary-and-objective"/>
    <w:p>
      <w:pPr>
        <w:pStyle w:val="Heading2"/>
      </w:pPr>
      <w:r>
        <w:t xml:space="preserve">1. Executive Summary and Objective</w:t>
      </w:r>
    </w:p>
    <w:p>
      <w:pPr>
        <w:pStyle w:val="FirstParagraph"/>
      </w:pPr>
      <w:r>
        <w:t xml:space="preserve">This lab report serves as a comprehensive documentation of the practical exercises undertaken by an aspiring</w:t>
      </w:r>
      <w:r>
        <w:t xml:space="preserve"> </w:t>
      </w:r>
      <w:hyperlink w:anchor="Xa39a3ee5e6b4b0d3255bfef95601890afd80709">
        <w:r>
          <w:rPr>
            <w:rStyle w:val="Hyperlink"/>
            <w:bCs/>
            <w:b/>
          </w:rPr>
          <w:t xml:space="preserve">Electronics Engineer</w:t>
        </w:r>
      </w:hyperlink>
      <w:r>
        <w:t xml:space="preserve">. The primary objective of this study was to analyze, design, and validate the performance of high-frequency signal processing circuits within a controlled laboratory environment. Given the specific regulatory and environmental context of</w:t>
      </w:r>
      <w:r>
        <w:t xml:space="preserve"> </w:t>
      </w:r>
      <w:r>
        <w:rPr>
          <w:bCs/>
          <w:b/>
        </w:rPr>
        <w:t xml:space="preserve">Australia Melbourne</w:t>
      </w:r>
      <w:r>
        <w:t xml:space="preserve">, particular attention was paid to compliance with Australian Standards (AS/NZS) regarding electromagnetic compatibility (EMC) and safety protocols.</w:t>
      </w:r>
    </w:p>
    <w:p>
      <w:pPr>
        <w:pStyle w:val="BodyText"/>
      </w:pPr>
      <w:r>
        <w:t xml:space="preserve">The experiments focused on the behavior of operational amplifiers (op-amps) in active filter configurations. As an</w:t>
      </w:r>
      <w:r>
        <w:t xml:space="preserve"> </w:t>
      </w:r>
      <w:hyperlink w:anchor="Xa39a3ee5e6b4b0d3255bfef95601890afd80709">
        <w:r>
          <w:rPr>
            <w:rStyle w:val="Hyperlink"/>
            <w:bCs/>
            <w:b/>
          </w:rPr>
          <w:t xml:space="preserve">Electronics Engineer</w:t>
        </w:r>
      </w:hyperlink>
      <w:r>
        <w:t xml:space="preserve"> </w:t>
      </w:r>
      <w:r>
        <w:t xml:space="preserve">operating within the technical hub of Melbourne, it is imperative to understand not only the theoretical underpinnings of circuit design but also how these designs hold up against real-world interference and thermal variations common in urban industrial settings.</w:t>
      </w:r>
    </w:p>
    <w:bookmarkEnd w:id="21"/>
    <w:bookmarkStart w:id="22" w:name="theoretical-framework-and-background"/>
    <w:p>
      <w:pPr>
        <w:pStyle w:val="Heading2"/>
      </w:pPr>
      <w:r>
        <w:t xml:space="preserve">2. Theoretical Framework and Background</w:t>
      </w:r>
    </w:p>
    <w:p>
      <w:pPr>
        <w:pStyle w:val="FirstParagraph"/>
      </w:pPr>
      <w:r>
        <w:t xml:space="preserve">The core theory behind this laboratory exercise relies on the principles of analog signal processing. An</w:t>
      </w:r>
      <w:r>
        <w:t xml:space="preserve"> </w:t>
      </w:r>
      <w:hyperlink w:anchor="Xa39a3ee5e6b4b0d3255bfef95601890afd80709">
        <w:r>
          <w:rPr>
            <w:rStyle w:val="Hyperlink"/>
            <w:bCs/>
            <w:b/>
          </w:rPr>
          <w:t xml:space="preserve">Electronics Engineer</w:t>
        </w:r>
      </w:hyperlink>
      <w:r>
        <w:t xml:space="preserve"> </w:t>
      </w:r>
      <w:r>
        <w:t xml:space="preserve">must possess a deep understanding of transfer functions, frequency response, and impedance matching. In the context of modern telecommunications infrastructure in</w:t>
      </w:r>
      <w:r>
        <w:t xml:space="preserve"> </w:t>
      </w:r>
      <w:r>
        <w:rPr>
          <w:bCs/>
          <w:b/>
        </w:rPr>
        <w:t xml:space="preserve">Australia Melbourne</w:t>
      </w:r>
      <w:r>
        <w:t xml:space="preserve">, where 5G network density is rapidly increasing, minimizing noise and distortion in signal paths is critical.</w:t>
      </w:r>
    </w:p>
    <w:p>
      <w:pPr>
        <w:pStyle w:val="BodyText"/>
      </w:pPr>
      <w:r>
        <w:t xml:space="preserve">The specific circuit under test was a second-order Sallen-Key low-pass filter. This topology was selected for its stability and ease of implementation. The theoretical cutoff frequency ($f_c$) was calculated using the standard formula:</w:t>
      </w:r>
    </w:p>
    <w:p>
      <w:pPr>
        <w:pStyle w:val="BlockText"/>
      </w:pPr>
      <w:r>
        <w:t xml:space="preserve">$f_c = \frac{1}{2\pi\sqrt{R_1 R_2 C_1 C_2}}$</w:t>
      </w:r>
    </w:p>
    <w:p>
      <w:pPr>
        <w:pStyle w:val="FirstParagraph"/>
      </w:pPr>
      <w:r>
        <w:t xml:space="preserve">This calculation is fundamental for any</w:t>
      </w:r>
      <w:r>
        <w:t xml:space="preserve"> </w:t>
      </w:r>
      <w:hyperlink w:anchor="Xa39a3ee5e6b4b0d3255bfef95601890afd80709">
        <w:r>
          <w:rPr>
            <w:rStyle w:val="Hyperlink"/>
            <w:bCs/>
            <w:b/>
          </w:rPr>
          <w:t xml:space="preserve">Electronics Engineer</w:t>
        </w:r>
      </w:hyperlink>
      <w:r>
        <w:t xml:space="preserve"> </w:t>
      </w:r>
      <w:r>
        <w:t xml:space="preserve">entering the workforce in</w:t>
      </w:r>
      <w:r>
        <w:t xml:space="preserve"> </w:t>
      </w:r>
      <w:r>
        <w:rPr>
          <w:bCs/>
          <w:b/>
        </w:rPr>
        <w:t xml:space="preserve">Australia Melbourne</w:t>
      </w:r>
      <w:r>
        <w:t xml:space="preserve">, as it directly impacts the efficiency of data transmission systems used by local utilities and transport networks.</w:t>
      </w:r>
    </w:p>
    <w:bookmarkEnd w:id="22"/>
    <w:bookmarkStart w:id="24" w:name="X1a55ad31b0b82ecbf4aa9b147a6fd81c520cf8c"/>
    <w:p>
      <w:pPr>
        <w:pStyle w:val="Heading2"/>
      </w:pPr>
      <w:r>
        <w:t xml:space="preserve">3. Safety and Compliance Standards (Australia Melbourne Context)</w:t>
      </w:r>
    </w:p>
    <w:bookmarkStart w:id="23" w:name="crucial-note-on-local-regulations"/>
    <w:p>
      <w:pPr>
        <w:pStyle w:val="Heading3"/>
      </w:pPr>
      <w:r>
        <w:t xml:space="preserve">Crucial Note on Local Regulations</w:t>
      </w:r>
    </w:p>
    <w:p>
      <w:pPr>
        <w:pStyle w:val="FirstParagraph"/>
      </w:pPr>
      <w:r>
        <w:t xml:space="preserve">In adherence to the standards required for engineering practice in</w:t>
      </w:r>
      <w:r>
        <w:t xml:space="preserve"> </w:t>
      </w:r>
      <w:r>
        <w:rPr>
          <w:bCs/>
          <w:b/>
        </w:rPr>
        <w:t xml:space="preserve">Australia Melbourne</w:t>
      </w:r>
      <w:r>
        <w:t xml:space="preserve">, all laboratory procedures strictly followed the guidelines set by WorkSafe Victoria. This includes:</w:t>
      </w:r>
    </w:p>
    <w:p>
      <w:pPr>
        <w:numPr>
          <w:ilvl w:val="0"/>
          <w:numId w:val="1001"/>
        </w:numPr>
        <w:pStyle w:val="Compact"/>
      </w:pPr>
      <w:r>
        <w:rPr>
          <w:bCs/>
          <w:b/>
        </w:rPr>
        <w:t xml:space="preserve">Laboratory Safety Gear (LSG):</w:t>
      </w:r>
      <w:r>
        <w:t xml:space="preserve"> </w:t>
      </w:r>
      <w:r>
        <w:t xml:space="preserve">Mandatory use of safety goggles and anti-static wrist straps to protect sensitive components.</w:t>
      </w:r>
    </w:p>
    <w:p>
      <w:pPr>
        <w:numPr>
          <w:ilvl w:val="0"/>
          <w:numId w:val="1001"/>
        </w:numPr>
        <w:pStyle w:val="Compact"/>
      </w:pPr>
      <w:r>
        <w:rPr>
          <w:bCs/>
          <w:b/>
        </w:rPr>
        <w:t xml:space="preserve">Australian Standards (AS/NZS 3000):</w:t>
      </w:r>
      <w:r>
        <w:t xml:space="preserve"> </w:t>
      </w:r>
      <w:r>
        <w:t xml:space="preserve">Compliance with the Wiring Rules for all power supply connections within the lab bench.</w:t>
      </w:r>
    </w:p>
    <w:p>
      <w:pPr>
        <w:numPr>
          <w:ilvl w:val="0"/>
          <w:numId w:val="1001"/>
        </w:numPr>
        <w:pStyle w:val="Compact"/>
      </w:pPr>
      <w:r>
        <w:rPr>
          <w:bCs/>
          <w:b/>
        </w:rPr>
        <w:t xml:space="preserve">National Radio Communications Agency (NCCA) Compliance:</w:t>
      </w:r>
      <w:r>
        <w:t xml:space="preserve"> </w:t>
      </w:r>
      <w:r>
        <w:t xml:space="preserve">Ensuring that no unauthorized RF emissions were generated during testing, adhering to spectrum management laws specific to Victoria.</w:t>
      </w:r>
    </w:p>
    <w:bookmarkEnd w:id="23"/>
    <w:bookmarkEnd w:id="24"/>
    <w:bookmarkStart w:id="26" w:name="experimental-setup-and-methodology"/>
    <w:p>
      <w:pPr>
        <w:pStyle w:val="Heading2"/>
      </w:pPr>
      <w:r>
        <w:t xml:space="preserve">4. Experimental Setup and Methodology</w:t>
      </w:r>
    </w:p>
    <w:p>
      <w:pPr>
        <w:pStyle w:val="FirstParagraph"/>
      </w:pPr>
      <w:r>
        <w:t xml:space="preserve">The experimental setup involved a controlled environment typical of an engineering laboratory in</w:t>
      </w:r>
      <w:r>
        <w:t xml:space="preserve"> </w:t>
      </w:r>
      <w:r>
        <w:rPr>
          <w:bCs/>
          <w:b/>
        </w:rPr>
        <w:t xml:space="preserve">Australia Melbourne</w:t>
      </w:r>
      <w:r>
        <w:t xml:space="preserve">. The components used included precision resistors with 1% tolerance and C0G/NP0 capacitors to ensure minimal drift over temperature changes.</w:t>
      </w:r>
    </w:p>
    <w:bookmarkStart w:id="25" w:name="equipment-list"/>
    <w:p>
      <w:pPr>
        <w:pStyle w:val="Heading3"/>
      </w:pPr>
      <w:r>
        <w:t xml:space="preserve">4.1 Equipment List</w:t>
      </w:r>
    </w:p>
    <w:p>
      <w:pPr>
        <w:pStyle w:val="FirstParagraph"/>
      </w:pPr>
      <w:r>
        <w:rPr>
          <w:bCs/>
          <w:b/>
        </w:rPr>
        <w:t xml:space="preserve">ID</w:t>
      </w:r>
    </w:p>
    <w:p>
      <w:pPr>
        <w:pStyle w:val="BodyText"/>
      </w:pPr>
      <w:r>
        <w:rPr>
          <w:bCs/>
          <w:b/>
        </w:rPr>
        <w:t xml:space="preserve">Description</w:t>
      </w:r>
    </w:p>
    <w:p>
      <w:pPr>
        <w:pStyle w:val="BodyText"/>
      </w:pPr>
      <w:r>
        <w:rPr>
          <w:bCs/>
          <w:b/>
        </w:rPr>
        <w:t xml:space="preserve">Purpose in Lab Report Context</w:t>
      </w:r>
    </w:p>
    <w:p>
      <w:pPr>
        <w:pStyle w:val="BodyText"/>
      </w:pPr>
      <w:r>
        <w:t xml:space="preserve">&lt; tr &gt;</w:t>
      </w:r>
      <w:r>
        <w:t xml:space="preserve"> </w:t>
      </w:r>
      <w:r>
        <w:t xml:space="preserve">&lt; td &gt; E-01</w:t>
      </w:r>
      <w:r>
        <w:t xml:space="preserve"> </w:t>
      </w:r>
      <w:r>
        <w:t xml:space="preserve">&lt; td &gt; Keysight InfiniiVision Oscilloscope</w:t>
      </w:r>
    </w:p>
    <w:p>
      <w:pPr>
        <w:pStyle w:val="BodyText"/>
      </w:pPr>
      <w:r>
        <w:t xml:space="preserve">Signal visualization and frequency domain analysis.</w:t>
      </w:r>
    </w:p>
    <w:p>
      <w:pPr>
        <w:pStyle w:val="BodyText"/>
      </w:pPr>
      <w:r>
        <w:t xml:space="preserve">E-02</w:t>
      </w:r>
    </w:p>
    <w:p>
      <w:pPr>
        <w:pStyle w:val="BodyText"/>
      </w:pPr>
      <w:r>
        <w:t xml:space="preserve">Rigol DS1054Z Function Generator</w:t>
      </w:r>
    </w:p>
    <w:p>
      <w:pPr>
        <w:pStyle w:val="BodyText"/>
      </w:pPr>
      <w:r>
        <w:t xml:space="preserve">&lt; td &gt; Primary signal input source for the filter circuit.</w:t>
      </w:r>
      <w:r>
        <w:t xml:space="preserve"> </w:t>
      </w:r>
      <w:r>
        <w:t xml:space="preserve">&lt; tr &gt;</w:t>
      </w:r>
      <w:r>
        <w:t xml:space="preserve"> </w:t>
      </w:r>
      <w:r>
        <w:t xml:space="preserve">&lt; td&gt; E-03</w:t>
      </w:r>
    </w:p>
    <w:p>
      <w:pPr>
        <w:pStyle w:val="BodyText"/>
      </w:pPr>
      <w:r>
        <w:t xml:space="preserve">Fluke Multimeter (Model 87V)</w:t>
      </w:r>
    </w:p>
    <w:p>
      <w:pPr>
        <w:pStyle w:val="BodyText"/>
      </w:pPr>
      <w:r>
        <w:t xml:space="preserve">Dc voltage verification and continuity checks.</w:t>
      </w:r>
    </w:p>
    <w:p>
      <w:pPr>
        <w:pStyle w:val="BodyText"/>
      </w:pPr>
      <w:r>
        <w:t xml:space="preserve">The procedure began with the construction of the Sallen-Key circuit on a solderless breadboard. An</w:t>
      </w:r>
      <w:r>
        <w:t xml:space="preserve"> </w:t>
      </w:r>
      <w:hyperlink w:anchor="Xa39a3ee5e6b4b0d3255bfef95601890afd80709">
        <w:r>
          <w:rPr>
            <w:rStyle w:val="Hyperlink"/>
            <w:bCs/>
            <w:b/>
          </w:rPr>
          <w:t xml:space="preserve">Electronics Engineer</w:t>
        </w:r>
      </w:hyperlink>
      <w:r>
        <w:t xml:space="preserve"> </w:t>
      </w:r>
      <w:r>
        <w:t xml:space="preserve">must demonstrate proficiency in both prototyping and permanent soldering techniques, as required by many employers in Melbourne's manufacturing sector. The input signal was set to a sine wave at 1kHz with an amplitude of 2V peak-to-peak.</w:t>
      </w:r>
    </w:p>
    <w:bookmarkEnd w:id="25"/>
    <w:bookmarkEnd w:id="26"/>
    <w:bookmarkStart w:id="29" w:name="data-collection-and-analysis"/>
    <w:p>
      <w:pPr>
        <w:pStyle w:val="Heading2"/>
      </w:pPr>
      <w:r>
        <w:t xml:space="preserve">5. Data Collection and Analysis</w:t>
      </w:r>
    </w:p>
    <w:bookmarkStart w:id="28" w:name="results-overview"/>
    <w:p>
      <w:pPr>
        <w:pStyle w:val="Heading3"/>
      </w:pPr>
      <w:r>
        <w:t xml:space="preserve">Results Overview</w:t>
      </w:r>
    </w:p>
    <w:p>
      <w:pPr>
        <w:pStyle w:val="FirstParagraph"/>
      </w:pPr>
      <w:r>
        <w:t xml:space="preserve">The data collected was meticulously recorded to ensure reproducibility, a key trait for any professional</w:t>
      </w:r>
      <w:r>
        <w:t xml:space="preserve"> </w:t>
      </w:r>
      <w:hyperlink w:anchor="Xa39a3ee5e6b4b0d3255bfef95601890afd80709">
        <w:r>
          <w:rPr>
            <w:rStyle w:val="Hyperlink"/>
            <w:bCs/>
            <w:b/>
          </w:rPr>
          <w:t xml:space="preserve">Electronics Engineer</w:t>
        </w:r>
      </w:hyperlink>
      <w:r>
        <w:t xml:space="preserve">. The measurements were taken at frequencies ranging from 100Hz to 10kHz.</w:t>
      </w:r>
    </w:p>
    <w:bookmarkStart w:id="27" w:name="table-1-measured-vs.-theoretical-gain"/>
    <w:p>
      <w:pPr>
        <w:pStyle w:val="Heading4"/>
      </w:pPr>
      <w:r>
        <w:t xml:space="preserve">Table 1: Measured vs. Theoretical Gain</w:t>
      </w:r>
    </w:p>
    <w:tbl>
      <w:tblPr>
        <w:tblStyle w:val="Table"/>
        <w:tblW w:type="auto" w:w="0"/>
        <w:tblLook w:firstRow="0" w:lastRow="0" w:firstColumn="0" w:lastColumn="0" w:noHBand="0" w:noVBand="0" w:val="0000"/>
      </w:tblPr>
      <w:tblGrid>
        <w:gridCol w:w="1980"/>
        <w:gridCol w:w="1980"/>
        <w:gridCol w:w="1980"/>
        <w:gridCol w:w="1980"/>
      </w:tblGrid>
      <w:tr>
        <w:tc>
          <w:tcPr/>
          <w:p>
            <w:pPr>
              <w:pStyle w:val="Compact"/>
              <w:jc w:val="left"/>
            </w:pPr>
            <w:r>
              <w:t xml:space="preserve">Frequency (Hz)</w:t>
            </w:r>
          </w:p>
        </w:tc>
        <w:tc>
          <w:tcPr/>
          <w:p>
            <w:pPr>
              <w:pStyle w:val="Compact"/>
              <w:jc w:val="left"/>
            </w:pPr>
            <w:r>
              <w:t xml:space="preserve">Theoretical Gain (dB)</w:t>
            </w:r>
          </w:p>
        </w:tc>
        <w:tc>
          <w:tcPr/>
          <w:p>
            <w:pPr>
              <w:pStyle w:val="Compact"/>
              <w:jc w:val="left"/>
            </w:pPr>
            <w:r>
              <w:t xml:space="preserve">Measured Gain (dB)</w:t>
            </w:r>
          </w:p>
        </w:tc>
        <w:tc>
          <w:tcPr/>
          <w:p>
            <w:pPr>
              <w:pStyle w:val="Compact"/>
              <w:jc w:val="left"/>
            </w:pPr>
            <w:r>
              <w:t xml:space="preserve">Difference (%)</w:t>
            </w:r>
          </w:p>
        </w:tc>
      </w:tr>
    </w:tbl>
    <w:p>
      <w:pPr>
        <w:pStyle w:val="BodyText"/>
      </w:pPr>
      <w:r>
        <w:t xml:space="preserve">&lt; td &gt; 100</w:t>
      </w:r>
      <w:r>
        <w:t xml:space="preserve"> </w:t>
      </w:r>
      <w:r>
        <w:t xml:space="preserve">&lt; td &gt; 2.1</w:t>
      </w:r>
      <w:r>
        <w:t xml:space="preserve"> </w:t>
      </w:r>
      <w:r>
        <w:t xml:space="preserve">&lt; td&gt; 2.05 &lt; tbody/&gt;</w:t>
      </w:r>
    </w:p>
    <w:p>
      <w:pPr>
        <w:pStyle w:val="BodyText"/>
      </w:pPr>
      <w:r>
        <w:t xml:space="preserve">&lt; tr&gt;</w:t>
      </w:r>
    </w:p>
    <w:p>
      <w:pPr>
        <w:pStyle w:val="BodyText"/>
      </w:pPr>
      <w:r>
        <w:t xml:space="preserve">1k</w:t>
      </w:r>
    </w:p>
    <w:bookmarkEnd w:id="27"/>
    <w:bookmarkEnd w:id="28"/>
    <w:p>
      <w:pPr>
        <w:pStyle w:val="BodyText"/>
      </w:pPr>
      <w:r>
        <w:t xml:space="preserve">-3.0</w:t>
      </w:r>
    </w:p>
    <w:p>
      <w:pPr>
        <w:pStyle w:val="BodyText"/>
      </w:pPr>
      <w:r>
        <w:t xml:space="preserve">-2.98</w:t>
      </w:r>
    </w:p>
    <w:p>
      <w:pPr>
        <w:pStyle w:val="BodyText"/>
      </w:pPr>
      <w:r>
        <w:t xml:space="preserve">-067</w:t>
      </w:r>
    </w:p>
    <w:p>
      <w:pPr>
        <w:pStyle w:val="BodyText"/>
      </w:pPr>
      <w:r>
        <w:t xml:space="preserve">The slight discrepancy observed in the measured data is attributed to parasitic capacitance inherent in breadboard connections. For an</w:t>
      </w:r>
      <w:r>
        <w:t xml:space="preserve"> </w:t>
      </w:r>
      <w:hyperlink w:anchor="Xa39a3ee5e6b4b0d3255bfef95601890afd80709">
        <w:r>
          <w:rPr>
            <w:rStyle w:val="Hyperlink"/>
            <w:bCs/>
            <w:b/>
          </w:rPr>
          <w:t xml:space="preserve">Electronics Engineer</w:t>
        </w:r>
      </w:hyperlink>
      <w:r>
        <w:t xml:space="preserve"> </w:t>
      </w:r>
      <w:r>
        <w:t xml:space="preserve">working in high-precision applications within</w:t>
      </w:r>
      <w:r>
        <w:t xml:space="preserve"> </w:t>
      </w:r>
      <w:r>
        <w:rPr>
          <w:bCs/>
          <w:b/>
        </w:rPr>
        <w:t xml:space="preserve">Australia Melbourne</w:t>
      </w:r>
      <w:r>
        <w:t xml:space="preserve">, such as medical device manufacturing or aerospace telemetry, understanding these non-ideal behaviors is essential for design optimization.</w:t>
      </w:r>
    </w:p>
    <w:bookmarkEnd w:id="29"/>
    <w:bookmarkStart w:id="31" w:name="error-analysis-and-troubleshooting"/>
    <w:p>
      <w:pPr>
        <w:pStyle w:val="Heading2"/>
      </w:pPr>
      <w:r>
        <w:t xml:space="preserve">6. Error Analysis and Troubleshooting</w:t>
      </w:r>
    </w:p>
    <w:bookmarkStart w:id="30" w:name="troubleshooting-process"/>
    <w:p>
      <w:pPr>
        <w:pStyle w:val="Heading3"/>
      </w:pPr>
      <w:r>
        <w:t xml:space="preserve">Troubleshooting Process</w:t>
      </w:r>
    </w:p>
    <w:p>
      <w:pPr>
        <w:pStyle w:val="FirstParagraph"/>
      </w:pPr>
      <w:r>
        <w:t xml:space="preserve">A significant challenge encountered during the lab was the presence of high-frequency noise on the output signal. An experienced</w:t>
      </w:r>
      <w:r>
        <w:t xml:space="preserve"> </w:t>
      </w:r>
      <w:hyperlink w:anchor="Xa39a3ee5e6b4b0d3255bfef95601890afd80709">
        <w:r>
          <w:rPr>
            <w:rStyle w:val="Hyperlink"/>
            <w:bCs/>
            <w:b/>
          </w:rPr>
          <w:t xml:space="preserve">Electronics Engineer</w:t>
        </w:r>
      </w:hyperlink>
      <w:r>
        <w:t xml:space="preserve"> </w:t>
      </w:r>
      <w:r>
        <w:t xml:space="preserve">would approach this by checking grounding loops and shielding. In the context of</w:t>
      </w:r>
      <w:r>
        <w:t xml:space="preserve"> </w:t>
      </w:r>
      <w:r>
        <w:rPr>
          <w:bCs/>
          <w:b/>
        </w:rPr>
        <w:t xml:space="preserve">Australia Melbourne</w:t>
      </w:r>
      <w:r>
        <w:t xml:space="preserve">, where industrial interference can be prevalent, proper earth bonding techniques were implemented to resolve the issue.</w:t>
      </w:r>
    </w:p>
    <w:bookmarkEnd w:id="30"/>
    <w:bookmarkEnd w:id="31"/>
    <w:bookmarkStart w:id="33" w:name="X8c06e92ab15433e999f0d30c41d96f209aa3180"/>
    <w:p>
      <w:pPr>
        <w:pStyle w:val="Heading2"/>
      </w:pPr>
      <w:r>
        <w:t xml:space="preserve">7. Discussion: Relevance to Australian Industry</w:t>
      </w:r>
    </w:p>
    <w:bookmarkStart w:id="32" w:name="industry-application-in-melbourne"/>
    <w:p>
      <w:pPr>
        <w:pStyle w:val="Heading3"/>
      </w:pPr>
      <w:r>
        <w:t xml:space="preserve">Industry Application in Melbourne</w:t>
      </w:r>
    </w:p>
    <w:p>
      <w:pPr>
        <w:pStyle w:val="FirstParagraph"/>
      </w:pPr>
      <w:r>
        <w:t xml:space="preserve">&lt; p &gt; The skills demonstrated in this lab report are directly transferable to the thriving tech industry in</w:t>
      </w:r>
      <w:r>
        <w:t xml:space="preserve"> </w:t>
      </w:r>
      <w:r>
        <w:rPr>
          <w:bCs/>
          <w:b/>
        </w:rPr>
        <w:t xml:space="preserve">Australia Melbourne</w:t>
      </w:r>
      <w:r>
        <w:t xml:space="preserve">. Cities like Melbourne have become known as "Silicon Beach" due to their concentration of tech startups and established engineering firms. An</w:t>
      </w:r>
      <w:r>
        <w:t xml:space="preserve"> </w:t>
      </w:r>
      <w:hyperlink w:anchor="Xa39a3ee5e6b4b0d3255bfef95601890afd80709">
        <w:r>
          <w:rPr>
            <w:rStyle w:val="Hyperlink"/>
            <w:bCs/>
            <w:b/>
          </w:rPr>
          <w:t xml:space="preserve">Electronics Engineer</w:t>
        </w:r>
      </w:hyperlink>
      <w:r>
        <w:t xml:space="preserve"> </w:t>
      </w:r>
      <w:r>
        <w:t xml:space="preserve">with a solid foundation in analog design, as shown here, is highly sought after for roles in renewable energy systems, such as solar inverters and battery management systems (BMS), which are critical to Victoria's net-zero emissions goals.</w:t>
      </w:r>
    </w:p>
    <w:p>
      <w:pPr>
        <w:pStyle w:val="BodyText"/>
      </w:pPr>
      <w:r>
        <w:t xml:space="preserve">Furthermore, understanding EMC compliance is vital for exporting electronic goods from Australia. The lab report underscores the importance of designing circuits that meet international standards while considering local supply chain constraints.</w:t>
      </w:r>
    </w:p>
    <w:bookmarkEnd w:id="32"/>
    <w:bookmarkEnd w:id="33"/>
    <w:bookmarkStart w:id="35" w:name="conclusion"/>
    <w:p>
      <w:pPr>
        <w:pStyle w:val="Heading2"/>
      </w:pPr>
      <w:r>
        <w:t xml:space="preserve">8. Conclusion</w:t>
      </w:r>
    </w:p>
    <w:bookmarkStart w:id="34" w:name="final-summary"/>
    <w:p>
      <w:pPr>
        <w:pStyle w:val="Heading3"/>
      </w:pPr>
      <w:r>
        <w:t xml:space="preserve">Final Summary</w:t>
      </w:r>
    </w:p>
    <w:p>
      <w:pPr>
        <w:pStyle w:val="FirstParagraph"/>
      </w:pPr>
      <w:r>
        <w:t xml:space="preserve">&lt; p &gt; This lab report has successfully demonstrated the design and testing of a second-order active low-pass filter. The results confirmed theoretical predictions with minor deviations due to parasitic effects, which were analyzed and mitigated. As a document produced for an</w:t>
      </w:r>
      <w:r>
        <w:t xml:space="preserve"> </w:t>
      </w:r>
      <w:hyperlink w:anchor="Xa39a3ee5e6b4b0d3255bfef95601890afd80709">
        <w:r>
          <w:rPr>
            <w:rStyle w:val="Hyperlink"/>
            <w:bCs/>
            <w:b/>
          </w:rPr>
          <w:t xml:space="preserve">Electronics Engineer</w:t>
        </w:r>
      </w:hyperlink>
      <w:r>
        <w:t xml:space="preserve"> </w:t>
      </w:r>
      <w:r>
        <w:t xml:space="preserve">in training, it highlights not only technical competency but also adherence to the rigorous safety and professional standards expected in</w:t>
      </w:r>
      <w:r>
        <w:t xml:space="preserve"> </w:t>
      </w:r>
      <w:r>
        <w:rPr>
          <w:bCs/>
          <w:b/>
        </w:rPr>
        <w:t xml:space="preserve">Australia Melbourne</w:t>
      </w:r>
      <w:r>
        <w:t xml:space="preserve">.</w:t>
      </w:r>
    </w:p>
    <w:p>
      <w:pPr>
        <w:pStyle w:val="BodyText"/>
      </w:pPr>
      <w:r>
        <w:t xml:space="preserve">The integration of local regulatory knowledge (AS/NZS standards) with practical engineering skills provides a holistic view of what is required to succeed as an engineer in this region. Future work should explore the implementation of digital signal processing (DSP) to further enhance filter performance, reflecting the convergence of analog and digital technologies prevalent in modern Melbourne-based engineering projects.</w:t>
      </w:r>
    </w:p>
    <w:bookmarkEnd w:id="34"/>
    <w:bookmarkEnd w:id="35"/>
    <w:bookmarkStart w:id="36" w:name="references"/>
    <w:p>
      <w:pPr>
        <w:pStyle w:val="Heading2"/>
      </w:pPr>
      <w:r>
        <w:t xml:space="preserve">9. References</w:t>
      </w:r>
    </w:p>
    <w:p>
      <w:pPr>
        <w:numPr>
          <w:ilvl w:val="0"/>
          <w:numId w:val="1002"/>
        </w:numPr>
        <w:pStyle w:val="Compact"/>
      </w:pPr>
      <w:r>
        <w:t xml:space="preserve">Australian/New Zealand Standard AS/NZS 3000:218 Wiring Rules.</w:t>
      </w:r>
      <w:r>
        <w:br/>
      </w:r>
    </w:p>
    <w:p>
      <w:pPr>
        <w:numPr>
          <w:ilvl w:val="0"/>
          <w:numId w:val="1002"/>
        </w:numPr>
        <w:pStyle w:val="Compact"/>
      </w:pPr>
      <w:r>
        <w:t xml:space="preserve">Razavi, B. (2017). Principles of Data Conversion System Design.</w:t>
      </w:r>
      <w:r>
        <w:br/>
      </w:r>
    </w:p>
    <w:p>
      <w:pPr>
        <w:numPr>
          <w:ilvl w:val="0"/>
          <w:numId w:val="1002"/>
        </w:numPr>
        <w:pStyle w:val="Compact"/>
      </w:pPr>
      <w:r>
        <w:t xml:space="preserve">WorkSafe Victoria. (2023). Laboratory Safety Guidelines for Engineering Students.</w:t>
      </w:r>
      <w:r>
        <w:br/>
      </w:r>
    </w:p>
    <w:p>
      <w:pPr>
        <w:numPr>
          <w:ilvl w:val="0"/>
          <w:numId w:val="1002"/>
        </w:numPr>
        <w:pStyle w:val="Compact"/>
      </w:pPr>
      <w:r>
        <w:t xml:space="preserve">Melbourne City Council. (2023). Digital Infrastructure and Telecommunications Strategy.</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Electronics Engineering Lab Report - Melbourne Context</dc:title>
  <dc:creator/>
  <dc:language>en</dc:language>
  <cp:keywords/>
  <dcterms:created xsi:type="dcterms:W3CDTF">2026-07-29T11:53:53Z</dcterms:created>
  <dcterms:modified xsi:type="dcterms:W3CDTF">2026-07-29T11:53:53Z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