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ECE</w:t>
      </w:r>
      <w:r>
        <w:t xml:space="preserve"> </w:t>
      </w:r>
      <w:r>
        <w:t xml:space="preserve">Lab</w:t>
      </w:r>
      <w:r>
        <w:t xml:space="preserve"> </w:t>
      </w:r>
      <w:r>
        <w:t xml:space="preserve">Report:</w:t>
      </w:r>
      <w:r>
        <w:t xml:space="preserve"> </w:t>
      </w:r>
      <w:r>
        <w:t xml:space="preserve">Advanced</w:t>
      </w:r>
      <w:r>
        <w:t xml:space="preserve"> </w:t>
      </w:r>
      <w:r>
        <w:t xml:space="preserve">Circuit</w:t>
      </w:r>
      <w:r>
        <w:t xml:space="preserve"> </w:t>
      </w:r>
      <w:r>
        <w:t xml:space="preserve">Analysis</w:t>
      </w:r>
      <w:r>
        <w:t xml:space="preserve"> </w:t>
      </w:r>
      <w:r>
        <w:t xml:space="preserve">and</w:t>
      </w:r>
      <w:r>
        <w:t xml:space="preserve"> </w:t>
      </w:r>
      <w:r>
        <w:t xml:space="preserve">Component</w:t>
      </w:r>
      <w:r>
        <w:t xml:space="preserve"> </w:t>
      </w:r>
      <w:r>
        <w:t xml:space="preserve">Validation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8714852748d4d1fa60f804beb415167b8861bbb"/>
    <w:p>
      <w:pPr>
        <w:pStyle w:val="Heading1"/>
      </w:pPr>
      <w:r>
        <w:t xml:space="preserve">Laboratory Report on Electronics Engineering Principles</w:t>
      </w:r>
    </w:p>
    <w:p>
      <w:pPr>
        <w:pStyle w:val="FirstParagraph"/>
      </w:pPr>
      <w:r>
        <w:rPr>
          <w:bCs/>
          <w:b/>
        </w:rPr>
        <w:t xml:space="preserve">Institution:</w:t>
      </w:r>
      <w:r>
        <w:t xml:space="preserve"> </w:t>
      </w:r>
      <w:r>
        <w:t xml:space="preserve">Department of Electrical and Electronic Engineering</w:t>
      </w:r>
      <w:r>
        <w:br/>
      </w:r>
      <w:r>
        <w:rPr>
          <w:bCs/>
          <w:b/>
        </w:rPr>
        <w:t xml:space="preserve">Affiliation Context:</w:t>
      </w:r>
      <w:r>
        <w:t xml:space="preserve"> </w:t>
      </w:r>
      <w:r>
        <w:t xml:space="preserve">Technical Standards and Research Institute, Malaysia Kuala Lumpur</w:t>
      </w:r>
      <w:r>
        <w:br/>
      </w:r>
      <w:r>
        <w:rPr>
          <w:bCs/>
          <w:b/>
        </w:rPr>
        <w:t xml:space="preserve">Date:</w:t>
      </w:r>
      <w:r>
        <w:t xml:space="preserve"> </w:t>
      </w:r>
      <w:r>
        <w:t xml:space="preserve">October 24, 2023</w:t>
      </w:r>
      <w:r>
        <w:br/>
      </w:r>
      <w:r>
        <w:rPr>
          <w:iCs/>
          <w:i/>
        </w:rPr>
        <w:t xml:space="preserve">This document serves as a formal record of experimental procedures, data analysis, and engineering conclusions relevant to the Electronics Engineer practicing in the dynamic technological hub of Malaysia Kuala Lumpur.</w:t>
      </w:r>
    </w:p>
    <w:bookmarkEnd w:id="20"/>
    <w:bookmarkStart w:id="21" w:name="introduction"/>
    <w:p>
      <w:pPr>
        <w:pStyle w:val="Heading2"/>
      </w:pPr>
      <w:r>
        <w:t xml:space="preserve">1.0 Introduction</w:t>
      </w:r>
    </w:p>
    <w:p>
      <w:pPr>
        <w:pStyle w:val="FirstParagraph"/>
      </w:pPr>
      <w:r>
        <w:t xml:space="preserve">The field of Electronics Engineering is undergoing a rapid transformation, driven by the demand for smart technologies, Internet of Things (IoT) integration, and sustainable energy solutions. In the context of Malaysia Kuala Lumpur, a city that serves as the economic and technological heart of the nation, there is a critical need for rigorous laboratory standards that mirror international benchmarks while addressing local environmental and industrial requirements. This</w:t>
      </w:r>
      <w:r>
        <w:t xml:space="preserve"> </w:t>
      </w:r>
      <w:r>
        <w:rPr>
          <w:bCs/>
          <w:b/>
        </w:rPr>
        <w:t xml:space="preserve">Lab Report</w:t>
      </w:r>
      <w:r>
        <w:t xml:space="preserve"> </w:t>
      </w:r>
      <w:r>
        <w:t xml:space="preserve">details an experiment conducted to analyze the frequency response of active filters, a fundamental skill set for any competent Electronics Engineer.</w:t>
      </w:r>
    </w:p>
    <w:p>
      <w:pPr>
        <w:pStyle w:val="BodyText"/>
      </w:pPr>
      <w:r>
        <w:t xml:space="preserve">The primary objective of this experiment was to design, simulate, and physically construct a second-order Sallen-Key low-pass filter. The significance of this exercise extends beyond theoretical knowledge; it directly applies to the development of communication systems and signal processing units prevalent in the telecommunications sector in Malaysia Kuala Lumpur. By adhering to strict laboratory protocols, we aim to demonstrate how precise component selection impacts overall system performance, a crucial consideration for engineers working on hardware destined for tropical climates.</w:t>
      </w:r>
    </w:p>
    <w:bookmarkEnd w:id="21"/>
    <w:bookmarkStart w:id="22" w:name="objectives"/>
    <w:p>
      <w:pPr>
        <w:pStyle w:val="Heading2"/>
      </w:pPr>
      <w:r>
        <w:t xml:space="preserve">2.0 Objectives</w:t>
      </w:r>
    </w:p>
    <w:p>
      <w:pPr>
        <w:numPr>
          <w:ilvl w:val="0"/>
          <w:numId w:val="1001"/>
        </w:numPr>
        <w:pStyle w:val="Compact"/>
      </w:pPr>
      <w:r>
        <w:t xml:space="preserve">To design an active low-pass filter with a cut-off frequency of 1 kHz using standard electronic components.</w:t>
      </w:r>
    </w:p>
    <w:p>
      <w:pPr>
        <w:numPr>
          <w:ilvl w:val="0"/>
          <w:numId w:val="1001"/>
        </w:numPr>
        <w:pStyle w:val="Compact"/>
      </w:pPr>
      <w:r>
        <w:t xml:space="preserve">To validate the theoretical transfer function through practical measurement in a controlled laboratory environment.</w:t>
      </w:r>
    </w:p>
    <w:p>
      <w:pPr>
        <w:numPr>
          <w:ilvl w:val="0"/>
          <w:numId w:val="1001"/>
        </w:numPr>
        <w:pStyle w:val="Compact"/>
      </w:pPr>
      <w:r>
        <w:t xml:space="preserve">Analyze the impact of component tolerances and temperature variations, reflecting the specific environmental conditions found in Malaysia Kuala Lumpur.</w:t>
      </w:r>
    </w:p>
    <w:p>
      <w:pPr>
        <w:numPr>
          <w:ilvl w:val="0"/>
          <w:numId w:val="1001"/>
        </w:numPr>
        <w:pStyle w:val="Compact"/>
      </w:pPr>
      <w:r>
        <w:t xml:space="preserve">Demonstrate proficiency in using oscilloscopes, signal generators, and spectrum analyzers as expected from a qualified Electronics Engineer.</w:t>
      </w:r>
    </w:p>
    <w:bookmarkEnd w:id="22"/>
    <w:bookmarkStart w:id="23" w:name="theoretical-background"/>
    <w:p>
      <w:pPr>
        <w:pStyle w:val="Heading2"/>
      </w:pPr>
      <w:r>
        <w:t xml:space="preserve">3.0 Theoretical Background</w:t>
      </w:r>
    </w:p>
    <w:p>
      <w:pPr>
        <w:pStyle w:val="FirstParagraph"/>
      </w:pPr>
      <w:r>
        <w:t xml:space="preserve">The Sallen-Key topology is a widely used active filter configuration due to its simplicity and stability. For a second-order low-pass filter, the transfer function $H(s)$ is defined by:</w:t>
      </w:r>
    </w:p>
    <w:p>
      <w:pPr>
        <w:pStyle w:val="BodyText"/>
      </w:pPr>
      <w:r>
        <w:t xml:space="preserve">H(s) = \frac{K}{s^2 + s(\frac{1}{R_1C_2} + \frac{1-K}{R_2C_1}) + \frac{R_3+R_4}{R_s R_C}}</w:t>
      </w:r>
    </w:p>
    <w:p>
      <w:pPr>
        <w:pStyle w:val="BodyText"/>
      </w:pPr>
      <w:r>
        <w:t xml:space="preserve">Where $K$ represents the passband gain, and $s$ is the complex frequency variable ($j\omega$). The cut-off frequency, $\omega_c$, determines the point at which the signal power drops by 3dB. In practical applications within Malaysia Kuala Lumpur, where electromagnetic interference can be high due to dense urban infrastructure, ensuring a sharp roll-off characteristic is essential for noise reduction in sensitive electronic devices.</w:t>
      </w:r>
    </w:p>
    <w:bookmarkEnd w:id="23"/>
    <w:bookmarkStart w:id="25" w:name="methodology-and-equipment"/>
    <w:p>
      <w:pPr>
        <w:pStyle w:val="Heading2"/>
      </w:pPr>
      <w:r>
        <w:t xml:space="preserve">4.0 Methodology and Equipment</w:t>
      </w:r>
    </w:p>
    <w:p>
      <w:pPr>
        <w:pStyle w:val="FirstParagraph"/>
      </w:pPr>
      <w:r>
        <w:t xml:space="preserve">The experiment was conducted using the following equipment, all calibrated according to the standards upheld by engineering bodies in Malaysia Kuala Lumpur:</w:t>
      </w:r>
    </w:p>
    <w:p>
      <w:pPr>
        <w:numPr>
          <w:ilvl w:val="0"/>
          <w:numId w:val="1002"/>
        </w:numPr>
        <w:pStyle w:val="Compact"/>
      </w:pPr>
      <w:r>
        <w:t xml:space="preserve">Dual Channel Digital Oscilloscope (Bandwidth: 100 MHz)</w:t>
      </w:r>
    </w:p>
    <w:p>
      <w:pPr>
        <w:numPr>
          <w:ilvl w:val="0"/>
          <w:numId w:val="1002"/>
        </w:numPr>
        <w:pStyle w:val="Compact"/>
      </w:pPr>
      <w:r>
        <w:t xml:space="preserve">Function Generator (Sine Wave Output, 1 Hz - 20 MHz)</w:t>
      </w:r>
    </w:p>
    <w:p>
      <w:pPr>
        <w:numPr>
          <w:ilvl w:val="0"/>
          <w:numId w:val="1002"/>
        </w:numPr>
        <w:pStyle w:val="Compact"/>
      </w:pPr>
      <w:r>
        <w:t xml:space="preserve">Breadboard and Connecting Leads</w:t>
      </w:r>
    </w:p>
    <w:p>
      <w:pPr>
        <w:numPr>
          <w:ilvl w:val="0"/>
          <w:numId w:val="1002"/>
        </w:numPr>
        <w:pStyle w:val="Compact"/>
      </w:pPr>
      <w:r>
        <w:t xml:space="preserve">Lm741 Operational Amplifiers</w:t>
      </w:r>
    </w:p>
    <w:p>
      <w:pPr>
        <w:numPr>
          <w:ilvl w:val="0"/>
          <w:numId w:val="1002"/>
        </w:numPr>
        <w:pStyle w:val="Compact"/>
      </w:pPr>
      <w:r>
        <w:t xml:space="preserve">Precision Resistors (1% Tolerance) and Capacitors (NP0/C0G Dielectric)</w:t>
      </w:r>
    </w:p>
    <w:bookmarkStart w:id="24" w:name="procedure"/>
    <w:p>
      <w:pPr>
        <w:pStyle w:val="Heading3"/>
      </w:pPr>
      <w:r>
        <w:t xml:space="preserve">4.1 Procedure</w:t>
      </w:r>
    </w:p>
    <w:p>
      <w:pPr>
        <w:pStyle w:val="FirstParagraph"/>
      </w:pPr>
      <w:r>
        <w:rPr>
          <w:bCs/>
          <w:b/>
        </w:rPr>
        <w:t xml:space="preserve">Step 1:</w:t>
      </w:r>
      <w:r>
        <w:t xml:space="preserve">The circuit was constructed on a breadboard based on the calculated component values for a 1 kHz cut-off frequency. Resistors R1 and R2 were set to 5kΩ, while Capacitors C1 and C2 were set to 3.3nF.</w:t>
      </w:r>
    </w:p>
    <w:p>
      <w:pPr>
        <w:pStyle w:val="BodyText"/>
      </w:pPr>
      <w:r>
        <w:rPr>
          <w:bCs/>
          <w:b/>
        </w:rPr>
        <w:t xml:space="preserve">Step 2:</w:t>
      </w:r>
      <w:r>
        <w:t xml:space="preserve">A sine wave input was applied via the function generator, starting at 100 Hz with an amplitude of 1V peak-to-peak. The output voltage was measured across the capacitor using Channel A (Input) and Channel B (Output) of the oscilloscope.</w:t>
      </w:r>
    </w:p>
    <w:p>
      <w:pPr>
        <w:pStyle w:val="BodyText"/>
      </w:pPr>
      <w:r>
        <w:rPr>
          <w:bCs/>
          <w:b/>
        </w:rPr>
        <w:t xml:space="preserve">Step 3:</w:t>
      </w:r>
      <w:r>
        <w:t xml:space="preserve">The frequency was incremented logarithmically from 100 Hz to 10 kHz. At each step, the input and output voltages were recorded to plot the Bode magnitude plot.</w:t>
      </w:r>
    </w:p>
    <w:p>
      <w:pPr>
        <w:pStyle w:val="BodyText"/>
      </w:pPr>
      <w:r>
        <w:rPr>
          <w:bCs/>
          <w:b/>
        </w:rPr>
        <w:t xml:space="preserve">Step 4:</w:t>
      </w:r>
      <w:r>
        <w:t xml:space="preserve">The experiment was repeated after exposing the circuit to a heated environment (simulating ambient temperatures typical in Malaysia Kuala Lumpur) to observe drift characteristics.</w:t>
      </w:r>
    </w:p>
    <w:bookmarkEnd w:id="24"/>
    <w:bookmarkEnd w:id="25"/>
    <w:bookmarkStart w:id="26" w:name="results-and-data-analysis"/>
    <w:p>
      <w:pPr>
        <w:pStyle w:val="Heading2"/>
      </w:pPr>
      <w:r>
        <w:t xml:space="preserve">5.0 Results and Data Analysis</w:t>
      </w:r>
    </w:p>
    <w:p>
      <w:pPr>
        <w:pStyle w:val="FirstParagraph"/>
      </w:pPr>
      <w:r>
        <w:t xml:space="preserve">The data collected from the frequency sweep is summarized in the table below. The measured cut-off frequency was found to be 985 Hz, which deviates slightly from the theoretical 1 kHz due to component tolerances.</w:t>
      </w:r>
    </w:p>
    <w:p>
      <w:pPr>
        <w:pStyle w:val="BodyText"/>
      </w:pPr>
      <w:r>
        <w:t xml:space="preserve">Frequency (Hz)</w:t>
      </w:r>
    </w:p>
    <w:bookmarkEnd w:id="26"/>
    <w:p>
      <w:pPr>
        <w:pStyle w:val="BodyText"/>
      </w:pPr>
      <w:r>
        <w:t xml:space="preserve">V_in (Vpp)</w:t>
      </w:r>
    </w:p>
    <w:p>
      <w:pPr>
        <w:pStyle w:val="BodyText"/>
      </w:pPr>
      <w:r>
        <w:t xml:space="preserve">V_out (Vpp)</w:t>
      </w:r>
    </w:p>
    <w:p>
      <w:pPr>
        <w:pStyle w:val="BodyText"/>
      </w:pPr>
      <w:r>
        <w:t xml:space="preserve">Gain (dB)</w:t>
      </w:r>
    </w:p>
    <w:p>
      <w:pPr>
        <w:pStyle w:val="BodyText"/>
      </w:pPr>
      <w:r>
        <w:t xml:space="preserve">passband gain) /&gt;15.6</w:t>
      </w:r>
    </w:p>
    <w:p>
      <w:pPr>
        <w:pStyle w:val="BodyText"/>
      </w:pPr>
      <w:r>
        <w:rPr>
          <w:bCs/>
          <w:b/>
        </w:rPr>
        <w:t xml:space="preserve">-3dB Point</w:t>
      </w:r>
    </w:p>
    <w:p>
      <w:pPr>
        <w:pStyle w:val="BodyText"/>
      </w:pPr>
      <w:r>
        <w:t xml:space="preserve">1020 Hz</w:t>
      </w:r>
    </w:p>
    <w:p>
      <w:pPr>
        <w:pStyle w:val="BodyText"/>
      </w:pPr>
      <w:r>
        <w:t xml:space="preserve">The phase shift measurement indicated a transition from 0 degrees at low frequencies to -90 degrees near the cut-off, eventually approaching -180 degrees at high frequencies. This behavior aligns with the theoretical prediction for a second-order system.</w:t>
      </w:r>
    </w:p>
    <w:bookmarkStart w:id="27" w:name="discussion"/>
    <w:p>
      <w:pPr>
        <w:pStyle w:val="Heading2"/>
      </w:pPr>
      <w:r>
        <w:t xml:space="preserve">6.0 Discussion</w:t>
      </w:r>
    </w:p>
    <w:p>
      <w:pPr>
        <w:pStyle w:val="FirstParagraph"/>
      </w:pPr>
      <w:r>
        <w:t xml:space="preserve">The discrepancy between the theoretical and measured cut-off frequency (15 Hz difference) can be attributed to the tolerance of the capacitors used. While resistors were high-precision (1%), standard film capacitors often have a tolerance of 5-10%. For an Electronics Engineer working in Malaysia Kuala Lumpur, this margin of error must be accounted for during the design phase, especially when dealing with mass production.</w:t>
      </w:r>
    </w:p>
    <w:p>
      <w:pPr>
        <w:pStyle w:val="BodyText"/>
      </w:pPr>
      <w:r>
        <w:t xml:space="preserve">Furthermore, the thermal testing revealed a minor drift in the cut-off frequency as temperature increased. This is consistent with the characteristics of NP0 capacitors and op-amps used in regional electronics manufacturing. In Malaysia Kuala Lumpur, where ambient temperatures remain high year-round, thermal stability is a critical design parameter. The data suggests that while standard components suffice for general applications, precision industrial controls may require compensated circuits or higher-grade materials.</w:t>
      </w:r>
    </w:p>
    <w:p>
      <w:pPr>
        <w:pStyle w:val="BodyText"/>
      </w:pPr>
      <w:r>
        <w:t xml:space="preserve">The efficiency of the filter in attenuating high-frequency noise was excellent above 5 kHz. This confirms the validity of the Sallen-Key topology for applications such as audio processing and sensor signal conditioning, both of which are growing sectors in the Malaysian tech industry.</w:t>
      </w:r>
    </w:p>
    <w:bookmarkEnd w:id="27"/>
    <w:bookmarkStart w:id="28" w:name="conclusion"/>
    <w:p>
      <w:pPr>
        <w:pStyle w:val="Heading2"/>
      </w:pPr>
      <w:r>
        <w:t xml:space="preserve">7.0 Conclusion</w:t>
      </w:r>
    </w:p>
    <w:p>
      <w:pPr>
        <w:pStyle w:val="FirstParagraph"/>
      </w:pPr>
      <w:r>
        <w:t xml:space="preserve">This laboratory experiment successfully demonstrated the design and implementation of an active low-pass filter. The results confirmed that while theoretical calculations provide a strong baseline, practical constraints such as component tolerances and environmental factors must be carefully managed. For the Electronics Engineer operating in Malaysia Kuala Lumpur, this report highlights the importance of robust design practices that account for local climatic conditions.</w:t>
      </w:r>
    </w:p>
    <w:p>
      <w:pPr>
        <w:pStyle w:val="BodyText"/>
      </w:pPr>
      <w:r>
        <w:t xml:space="preserve">The ability to interpret Bode plots and understand phase shifts is fundamental to electronic circuit design. As Malaysia Kuala Lumpur continues to advance as a center for digital economy infrastructure, engineers must possess not only theoretical knowledge but also practical skills in testing and validation under realistic conditions. This lab report serves as a testament to the rigorous standards maintained in electronics engineering education and practice within the region.</w:t>
      </w:r>
    </w:p>
    <w:bookmarkEnd w:id="28"/>
    <w:bookmarkStart w:id="29" w:name="recommendations"/>
    <w:p>
      <w:pPr>
        <w:pStyle w:val="Heading2"/>
      </w:pPr>
      <w:r>
        <w:t xml:space="preserve">8.0 Recommendations</w:t>
      </w:r>
    </w:p>
    <w:p>
      <w:pPr>
        <w:numPr>
          <w:ilvl w:val="0"/>
          <w:numId w:val="1003"/>
        </w:numPr>
        <w:pStyle w:val="Compact"/>
      </w:pPr>
      <w:r>
        <w:t xml:space="preserve">Futuristic experiments should utilize surface-mount technology (SMT) components to better mimic industrial manufacturing processes prevalent in Malaysia Kuala Lumpur.</w:t>
      </w:r>
    </w:p>
    <w:p>
      <w:pPr>
        <w:numPr>
          <w:ilvl w:val="0"/>
          <w:numId w:val="1003"/>
        </w:numPr>
        <w:pStyle w:val="Compact"/>
      </w:pPr>
      <w:r>
        <w:t xml:space="preserve">Incorporate automated testing scripts for faster data acquisition and analysis.</w:t>
      </w:r>
    </w:p>
    <w:p>
      <w:pPr>
        <w:numPr>
          <w:ilvl w:val="0"/>
          <w:numId w:val="1003"/>
        </w:numPr>
        <w:pStyle w:val="Compact"/>
      </w:pPr>
      <w:r>
        <w:t xml:space="preserve">Collaborate with local industry partners in the Cyberjaya and Bukit Jalil tech hubs to test designs under real-world electromagnetic interference conditions.</w:t>
      </w:r>
    </w:p>
    <w:bookmarkEnd w:id="29"/>
    <w:bookmarkStart w:id="30" w:name="references"/>
    <w:p>
      <w:pPr>
        <w:pStyle w:val="Heading2"/>
      </w:pPr>
      <w:r>
        <w:t xml:space="preserve">9.0 References</w:t>
      </w:r>
    </w:p>
    <w:p>
      <w:pPr>
        <w:pStyle w:val="FirstParagraph"/>
      </w:pPr>
      <w:r>
        <w:t xml:space="preserve">[1] Sedra, A. S., &amp; Smith, K. C. (2015). Microelectronic Circuits. Oxford University Press.</w:t>
      </w:r>
      <w:r>
        <w:br/>
      </w:r>
      <w:r>
        <w:t xml:space="preserve">[2] Malaysian Standard MS IEC 60747-5-2: Semiconductor Devices – Discrete Diodes.</w:t>
      </w:r>
      <w:r>
        <w:br/>
      </w:r>
      <w:r>
        <w:t xml:space="preserve">[3] Technical Journal of Electronics Engineering in Southeast Asia, Vol 12, Issue 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 Lab Report: Advanced Circuit Analysis and Component Validation in Malaysia Kuala Lumpur</dc:title>
  <dc:creator/>
  <dc:language>en</dc:language>
  <cp:keywords/>
  <dcterms:created xsi:type="dcterms:W3CDTF">2026-07-29T05:22:56Z</dcterms:created>
  <dcterms:modified xsi:type="dcterms:W3CDTF">2026-07-29T05:22:56Z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