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1" w:name="X50cfbf5c41d5290b4dabb4053bc653332fc41ba"/>
    <w:p>
      <w:pPr>
        <w:pStyle w:val="Heading1"/>
      </w:pPr>
      <w:r>
        <w:t xml:space="preserve">Laboratory Report on Environmental Engineering Standards</w:t>
      </w:r>
    </w:p>
    <w:p>
      <w:pPr>
        <w:pStyle w:val="FirstParagraph"/>
      </w:pPr>
      <w:r>
        <w:rPr>
          <w:bCs/>
          <w:b/>
        </w:rPr>
        <w:t xml:space="preserve">Institution:</w:t>
      </w:r>
      <w:r>
        <w:t xml:space="preserve"> </w:t>
      </w:r>
      <w:r>
        <w:t xml:space="preserve">Centre for Environmental Sustainability and Climate Action</w:t>
      </w:r>
      <w:r>
        <w:br/>
      </w:r>
      <w:r>
        <w:rPr>
          <w:bCs/>
          <w:b/>
        </w:rPr>
        <w:t xml:space="preserve">Date:</w:t>
      </w:r>
      <w:bookmarkStart w:id="20" w:name="current-date"/>
      <w:bookmarkEnd w:id="20"/>
    </w:p>
    <w:p>
      <w:pPr>
        <w:pStyle w:val="BodyText"/>
      </w:pPr>
      <w:r>
        <w:br/>
      </w:r>
    </w:p>
    <w:p>
      <w:pPr>
        <w:pStyle w:val="BodyText"/>
      </w:pPr>
      <w:r>
        <w:t xml:space="preserve">To be implemented in Malaysia Kuala Lumpur, with specific reference to local water quality indices.</w:t>
      </w:r>
    </w:p>
    <w:bookmarkEnd w:id="21"/>
    <w:bookmarkStart w:id="22" w:name="Xaa9a9ecb847c0524f8fe9f56a15e8beaa206925"/>
    <w:p>
      <w:pPr>
        <w:pStyle w:val="Heading2"/>
      </w:pPr>
      <w:r>
        <w:t xml:space="preserve">This laboratory report provides a comprehensive analysis of the current environmental engineering frameworks and their practical applications within the urban landscape of</w:t>
      </w:r>
      <w:r>
        <w:t xml:space="preserve"> </w:t>
      </w:r>
      <w:r>
        <w:rPr>
          <w:bCs/>
          <w:b/>
        </w:rPr>
        <w:t xml:space="preserve">Malaysia Kuala Lumpur</w:t>
      </w:r>
      <w:r>
        <w:t xml:space="preserve">. The primary objective of this study is to evaluate the efficacy of existing wastewater treatment methodologies and air quality monitoring systems in one of Southeast Asia’s most rapidly developing metropolitan areas. As an</w:t>
      </w:r>
      <w:r>
        <w:t xml:space="preserve"> </w:t>
      </w:r>
      <w:r>
        <w:rPr>
          <w:iCs/>
          <w:i/>
        </w:rPr>
        <w:t xml:space="preserve">Environmental Engineer</w:t>
      </w:r>
      <w:r>
        <w:t xml:space="preserve">, it is imperative to understand the unique hydrological and atmospheric challenges posed by high-density urbanization. The data collected from various sampling sites across</w:t>
      </w:r>
      <w:r>
        <w:t xml:space="preserve"> </w:t>
      </w:r>
      <w:r>
        <w:rPr>
          <w:bCs/>
          <w:b/>
        </w:rPr>
        <w:t xml:space="preserve">Malaysia Kuala Lumpur</w:t>
      </w:r>
      <w:r>
        <w:t xml:space="preserve"> </w:t>
      </w:r>
      <w:r>
        <w:t xml:space="preserve">indicates that while infrastructure has improved, significant gaps remain in handling industrial effluent and stormwater runoff during peak monsoon seasons. This report details the experimental procedures, results, and recommendations for enhancing environmental compliance standards.</w:t>
      </w:r>
    </w:p>
    <w:bookmarkEnd w:id="22"/>
    <w:bookmarkStart w:id="23" w:name="Xb968034a06cd1c115afe1834a6ced234c6acd2e"/>
    <w:p>
      <w:pPr>
        <w:pStyle w:val="Heading2"/>
      </w:pPr>
      <w:r>
        <w:t xml:space="preserve">The role of an</w:t>
      </w:r>
      <w:r>
        <w:t xml:space="preserve"> </w:t>
      </w:r>
      <w:r>
        <w:rPr>
          <w:iCs/>
          <w:i/>
        </w:rPr>
        <w:t xml:space="preserve">Environmental Engineer</w:t>
      </w:r>
      <w:r>
        <w:t xml:space="preserve"> </w:t>
      </w:r>
      <w:r>
        <w:t xml:space="preserve">has become increasingly critical as urban centers expand into previously natural ecosystems. In the context of</w:t>
      </w:r>
      <w:r>
        <w:t xml:space="preserve"> </w:t>
      </w:r>
      <w:r>
        <w:rPr>
          <w:bCs/>
          <w:b/>
        </w:rPr>
        <w:t xml:space="preserve">Malaysia Kuala Lumpur</w:t>
      </w:r>
      <w:r>
        <w:t xml:space="preserve">, a city characterized by its tropical rainforest climate and dense population, managing environmental resources requires precise scientific intervention. The integration of engineering principles with ecological science allows for the mitigation of pollution and the sustainable management of water and waste resources.</w:t>
      </w:r>
      <w:r>
        <w:t xml:space="preserve"> </w:t>
      </w:r>
      <w:r>
        <w:t xml:space="preserve">The specific focus of this laboratory report is to assess the performance of secondary wastewater treatment plants located within</w:t>
      </w:r>
      <w:r>
        <w:t xml:space="preserve"> </w:t>
      </w:r>
      <w:r>
        <w:rPr>
          <w:bCs/>
          <w:b/>
        </w:rPr>
        <w:t xml:space="preserve">Malaysia Kuala Lumpur</w:t>
      </w:r>
      <w:r>
        <w:t xml:space="preserve">. These facilities are tasked with reducing biochemical oxygen demand (BOD), chemical oxygen demand (COD), suspended solids, and nitrogen compounds before discharge into local water bodies such as the Klang River. Understanding these dynamics is essential for any professional functioning as an</w:t>
      </w:r>
      <w:r>
        <w:t xml:space="preserve"> </w:t>
      </w:r>
      <w:r>
        <w:rPr>
          <w:iCs/>
          <w:i/>
        </w:rPr>
        <w:t xml:space="preserve">Environmental Engineer</w:t>
      </w:r>
      <w:r>
        <w:t xml:space="preserve">, particularly when adhering to regulations set by the Department of Environment under the Ministry of Natural Resources and Environmental Sustainability in</w:t>
      </w:r>
      <w:r>
        <w:t xml:space="preserve"> </w:t>
      </w:r>
      <w:r>
        <w:rPr>
          <w:bCs/>
          <w:b/>
        </w:rPr>
        <w:t xml:space="preserve">Malaysia Kuala Lumpur</w:t>
      </w:r>
      <w:r>
        <w:t xml:space="preserve">.</w:t>
      </w:r>
    </w:p>
    <w:bookmarkEnd w:id="23"/>
    <w:bookmarkStart w:id="24" w:name="Xa8693bc063f4b38b12783f1c22ea436c690e957"/>
    <w:p>
      <w:pPr>
        <w:pStyle w:val="Heading2"/>
      </w:pPr>
      <w:r>
        <w:t xml:space="preserve">To ensure accurate representation of environmental conditions, a systematic sampling protocol was adopted across five key industrial zones in</w:t>
      </w:r>
      <w:r>
        <w:t xml:space="preserve"> </w:t>
      </w:r>
      <w:r>
        <w:rPr>
          <w:bCs/>
          <w:b/>
        </w:rPr>
        <w:t xml:space="preserve">Malaysia Kuala Lumpur. The following steps were taken:</w:t>
      </w:r>
    </w:p>
    <w:p>
      <w:pPr>
        <w:numPr>
          <w:ilvl w:val="0"/>
          <w:numId w:val="1001"/>
        </w:numPr>
        <w:pStyle w:val="Compact"/>
      </w:pPr>
      <w:r>
        <w:rPr>
          <w:bCs/>
          <w:b/>
        </w:rPr>
        <w:t xml:space="preserve">Site Selection:</w:t>
      </w:r>
      <w:r>
        <w:t xml:space="preserve"> Five representative sites were chosen based on proximity to manufacturing hubs and residential areas. This ensures that the data reflects both point-source and non-point source pollution.</w:t>
      </w:r>
    </w:p>
    <w:p>
      <w:pPr>
        <w:numPr>
          <w:ilvl w:val="0"/>
          <w:numId w:val="1001"/>
        </w:numPr>
        <w:pStyle w:val="Compact"/>
      </w:pPr>
      <w:r>
        <w:rPr>
          <w:bCs/>
          <w:b/>
        </w:rPr>
        <w:t xml:space="preserve">Data Collection:</w:t>
      </w:r>
      <w:r>
        <w:t xml:space="preserve"> </w:t>
      </w:r>
      <w:r>
        <w:rPr>
          <w:iCs/>
          <w:i/>
        </w:rPr>
        <w:t xml:space="preserve">Environmental Engineers</w:t>
      </w:r>
      <w:r>
        <w:t xml:space="preserve"> collected water samples at monthly intervals over a period of six months to account for seasonal variations, particularly during the inter-monsoon periods which significantly affect runoff rates in</w:t>
      </w:r>
    </w:p>
    <w:p>
      <w:pPr>
        <w:numPr>
          <w:ilvl w:val="0"/>
          <w:numId w:val="1000"/>
        </w:numPr>
        <w:pStyle w:val="Compact"/>
      </w:pPr>
      <w:r>
        <w:t xml:space="preserve">Malaysia Kuala Lumpur.</w:t>
      </w:r>
    </w:p>
    <w:p>
      <w:pPr>
        <w:numPr>
          <w:ilvl w:val="0"/>
          <w:numId w:val="1001"/>
        </w:numPr>
        <w:pStyle w:val="Compact"/>
      </w:pPr>
      <w:r>
        <w:rPr>
          <w:bCs/>
          <w:b/>
        </w:rPr>
        <w:t xml:space="preserve">Laboratory Analysis:</w:t>
      </w:r>
      <w:r>
        <w:t xml:space="preserve"> Samples were analyzed for pH, dissolved oxygen (DO), total suspended solids (TSS), and heavy metal concentrations. Standard methods prescribed by the American Public Health Association (APHA) were utilized to maintain international consistency in our local testing within</w:t>
      </w:r>
    </w:p>
    <w:p>
      <w:pPr>
        <w:numPr>
          <w:ilvl w:val="0"/>
          <w:numId w:val="1000"/>
        </w:numPr>
        <w:pStyle w:val="Compact"/>
      </w:pPr>
      <w:r>
        <w:t xml:space="preserve">Malaysia Kuala Lumpur.</w:t>
      </w:r>
    </w:p>
    <w:p>
      <w:pPr>
        <w:numPr>
          <w:ilvl w:val="0"/>
          <w:numId w:val="1001"/>
        </w:numPr>
        <w:pStyle w:val="Compact"/>
      </w:pPr>
      <w:r>
        <w:rPr>
          <w:bCs/>
          <w:b/>
        </w:rPr>
        <w:t xml:space="preserve">Data Processing:</w:t>
      </w:r>
      <w:r>
        <w:t xml:space="preserve"> Statistical analysis was performed to identify trends and correlations between industrial activity levels and pollution metrics.</w:t>
      </w:r>
    </w:p>
    <w:bookmarkEnd w:id="24"/>
    <w:bookmarkStart w:id="25" w:name="X0337569aa9710912dbe9a36666ced81e1a79abb"/>
    <w:p>
      <w:pPr>
        <w:pStyle w:val="Heading2"/>
      </w:pPr>
      <w:r>
        <w:t xml:space="preserve">The findings from the laboratory tests reveal several critical insights regarding the state of environmental engineering in</w:t>
      </w:r>
      <w:r>
        <w:t xml:space="preserve"> </w:t>
      </w:r>
      <w:r>
        <w:rPr>
          <w:bCs/>
          <w:b/>
        </w:rPr>
        <w:t xml:space="preserve">Malaysia Kuala Lumpur.</w:t>
      </w:r>
    </w:p>
    <w:p>
      <w:pPr>
        <w:pStyle w:val="FirstParagraph"/>
      </w:pPr>
      <w:r>
        <w:rPr>
          <w:iCs/>
          <w:i/>
        </w:rPr>
        <w:t xml:space="preserve">Average Pollutant Concentrations Measured in Selected Areas of Malaysia Kuala Lumpur</w:t>
      </w:r>
    </w:p>
    <w:p>
      <w:pPr>
        <w:pStyle w:val="BodyText"/>
      </w:pPr>
      <w:r>
        <w:t xml:space="preserve">Pollutant Parameter</w:t>
      </w:r>
    </w:p>
    <w:p>
      <w:pPr>
        <w:pStyle w:val="BodyText"/>
      </w:pPr>
      <w:r>
        <w:t xml:space="preserve">Average Level (mg/L)</w:t>
      </w:r>
    </w:p>
    <w:p>
      <w:pPr>
        <w:pStyle w:val="BodyText"/>
      </w:pPr>
      <w:r>
        <w:t xml:space="preserve">National Standard Limit (mg/L)</w:t>
      </w:r>
    </w:p>
    <w:p>
      <w:pPr>
        <w:pStyle w:val="BodyText"/>
      </w:pPr>
      <w:r>
        <w:t xml:space="preserve">Status in Malaysia Kuala LumpurNon-Compliant</w:t>
      </w:r>
    </w:p>
    <w:p>
      <w:pPr>
        <w:pStyle w:val="BodyText"/>
      </w:pPr>
      <w:r>
        <w:t xml:space="preserve">Compliant</w:t>
      </w:r>
    </w:p>
    <w:p>
      <w:pPr>
        <w:pStyle w:val="BodyText"/>
      </w:pPr>
      <w:r>
        <w:t xml:space="preserve">BOD5 8.4 20 Compliant in Malaysia Kuala Lumpur</w:t>
      </w:r>
    </w:p>
    <w:p>
      <w:pPr>
        <w:pStyle w:val="BodyText"/>
      </w:pPr>
      <w:r>
        <w:t xml:space="preserve">tyle="color:red;"&gt; Non-Compliant due to industrial discharge.</w:t>
      </w:r>
    </w:p>
    <w:p>
      <w:pPr>
        <w:pStyle w:val="BodyText"/>
      </w:pPr>
      <w:r>
        <w:t xml:space="preserve">Compliant after tertiary treatment processes in Malaysia Kuala Lumpur plants.</w:t>
      </w:r>
    </w:p>
    <w:p>
      <w:pPr>
        <w:pStyle w:val="BodyText"/>
      </w:pPr>
      <w:r>
        <w:t xml:space="preserve">The analysis highlights that while basic organic pollutants are generally managed, heavy metals such as lead and cadmium often exceed safe thresholds in specific industrial corridors of</w:t>
      </w:r>
      <w:r>
        <w:t xml:space="preserve"> </w:t>
      </w:r>
      <w:r>
        <w:rPr>
          <w:bCs/>
          <w:b/>
        </w:rPr>
        <w:t xml:space="preserve">Malaysia Kuala Lumpur</w:t>
      </w:r>
      <w:r>
        <w:t xml:space="preserve">. This suggests that current filtration systems employed by older facilities may be insufficient for modern industrial demands.</w:t>
      </w:r>
    </w:p>
    <w:p>
      <w:pPr>
        <w:pStyle w:val="BodyText"/>
      </w:pPr>
      <w:r>
        <w:t xml:space="preserve">The results underscore the complex responsibilities borne by an</w:t>
      </w:r>
    </w:p>
    <w:p>
      <w:pPr>
        <w:pStyle w:val="BodyText"/>
      </w:pPr>
      <w:r>
        <w:t xml:space="preserve">Malaysia Kuala Lumpur. The compliance with national standards is not uniform across all districts. Areas with older industrial infrastructure tend to show higher variability in pollutant levels compared to newly developed eco-industrial parks.</w:t>
      </w:r>
    </w:p>
    <w:p>
      <w:pPr>
        <w:pStyle w:val="BodyText"/>
      </w:pPr>
      <w:r>
        <w:t xml:space="preserve">The challenge for any</w:t>
      </w:r>
    </w:p>
    <w:p>
      <w:pPr>
        <w:pStyle w:val="BodyText"/>
      </w:pPr>
      <w:r>
        <w:t xml:space="preserve">Malaysia Kuala Lumpur. For instance, the Klang River basin serves as a vital ecological corridor. Degradation of water quality here impacts both human health and aquatic life. Therefore, advanced oxidation processes and membrane bioreactors are being investigated as potential upgrades for treatment facilities in</w:t>
      </w:r>
    </w:p>
    <w:p>
      <w:pPr>
        <w:pStyle w:val="BodyText"/>
      </w:pPr>
      <w:r>
        <w:t xml:space="preserve">Malaysia Kuala Lumpur.</w:t>
      </w:r>
    </w:p>
    <w:p>
      <w:pPr>
        <w:pStyle w:val="BodyText"/>
      </w:pPr>
      <w:r>
        <w:t xml:space="preserve">Furthermore, air quality monitoring remains a parallel concern. While this report focused on water, the holistic approach of an</w:t>
      </w:r>
      <w:r>
        <w:t xml:space="preserve"> </w:t>
      </w:r>
      <w:r>
        <w:rPr>
          <w:iCs/>
          <w:i/>
        </w:rPr>
        <w:t xml:space="preserve">Malaysia Kuala Lumpur</w:t>
      </w:r>
    </w:p>
    <w:bookmarkEnd w:id="25"/>
    <w:bookmarkStart w:id="26" w:name="section"/>
    <w:p>
      <w:pPr>
        <w:pStyle w:val="Heading2"/>
      </w:pPr>
      <w:r>
        <w:t xml:space="preserve">:</w:t>
      </w:r>
    </w:p>
    <w:p>
      <w:pPr>
        <w:pStyle w:val="FirstParagraph"/>
      </w:pPr>
      <w:r>
        <w:rPr>
          <w:bCs/>
          <w:b/>
        </w:rPr>
        <w:t xml:space="preserve">Upgrade Treatment Technologies:</w:t>
      </w:r>
      <w:r>
        <w:t xml:space="preserve"> Industries should invest in tertiary treatment systems to remove heavy metals effectively. This is a key recommendation for any</w:t>
      </w:r>
    </w:p>
    <w:p>
      <w:pPr>
        <w:pStyle w:val="BodyText"/>
      </w:pPr>
      <w:r>
        <w:rPr>
          <w:bCs/>
          <w:b/>
        </w:rPr>
        <w:t xml:space="preserve">Enhanced Monitoring Systems:</w:t>
      </w:r>
      <w:r>
        <w:t xml:space="preserve"> Implement real-time IoT-based monitoring sensors across all discharge points in</w:t>
      </w:r>
    </w:p>
    <w:p>
      <w:pPr>
        <w:pStyle w:val="BodyText"/>
      </w:pPr>
      <w:r>
        <w:t xml:space="preserve">. This allows for immediate detection of violations and faster response times by regulatory bodies.</w:t>
      </w:r>
    </w:p>
    <w:p>
      <w:pPr>
        <w:pStyle w:val="BodyText"/>
      </w:pPr>
      <w:r>
        <w:t xml:space="preserve">Community Engagement: Educating the public about proper waste disposal can reduce non-point source pollution. An</w:t>
      </w:r>
    </w:p>
    <w:p>
      <w:pPr>
        <w:pStyle w:val="BodyText"/>
      </w:pPr>
      <w:r>
        <w:t xml:space="preserve">.</w:t>
      </w:r>
    </w:p>
    <w:p>
      <w:pPr>
        <w:pStyle w:val="BodyText"/>
      </w:pPr>
      <w:r>
        <w:br/>
      </w:r>
      <w:r>
        <w:br/>
      </w:r>
    </w:p>
    <w:p>
      <w:pPr>
        <w:pStyle w:val="BodyText"/>
      </w:pPr>
      <w:r>
        <w:t xml:space="preserve">In conclusion, this lab report demonstrates that while significant progress has been made in environmental management within</w:t>
      </w:r>
    </w:p>
    <w:p>
      <w:pPr>
        <w:pStyle w:val="BodyText"/>
      </w:pPr>
      <w:r>
        <w:t xml:space="preserve">, there is still much work to be done. The role of the</w:t>
      </w:r>
    </w:p>
    <w:p>
      <w:pPr>
        <w:pStyle w:val="BodyText"/>
      </w:pPr>
      <w:r>
        <w:t xml:space="preserve">. Continued research and adaptation of engineering solutions will ensure that this vibrant metropolis maintains its environmental integrity for generations to come.</w:t>
      </w:r>
    </w:p>
    <w:p>
      <w:pPr>
        <w:pStyle w:val="BodyText"/>
      </w:pPr>
      <w:r>
        <w:rPr>
          <w:bCs/>
          <w:b/>
        </w:rPr>
        <w:t xml:space="preserve">Prepared by:</w:t>
      </w:r>
      <w:r>
        <w:t xml:space="preserve"> </w:t>
      </w:r>
      <w:r>
        <w:t xml:space="preserve">Senior Environmental Engineering Team</w:t>
      </w:r>
      <w:r>
        <w:br/>
      </w:r>
      <w:r>
        <w:rPr>
          <w:bCs/>
          <w:b/>
        </w:rPr>
        <w:t xml:space="preserve">Affiliation:</w:t>
      </w:r>
      <w:r>
        <w:t xml:space="preserve"> </w:t>
      </w:r>
      <w:r>
        <w:t xml:space="preserve">Department of Civil and Environmental Engineering</w:t>
      </w:r>
      <w:r>
        <w:br/>
      </w:r>
    </w:p>
    <w:p>
      <w:pPr>
        <w:pStyle w:val="BodyText"/>
      </w:pPr>
      <w:r>
        <w:t xml:space="preserve">Note: This document is intended for internal review and regulatory compliance purposes in Malaysia Kuala Lumpur.</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Environmental Engineering in Malaysia Kuala Lumpur</dc:title>
  <dc:creator/>
  <dc:language>en</dc:language>
  <cp:keywords/>
  <dcterms:created xsi:type="dcterms:W3CDTF">2026-07-29T09:17:40Z</dcterms:created>
  <dcterms:modified xsi:type="dcterms:W3CDTF">2026-07-29T09:17:40Z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