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Cinematic</w:t>
      </w:r>
      <w:r>
        <w:t xml:space="preserve"> </w:t>
      </w:r>
      <w:r>
        <w:t xml:space="preserve">Director</w:t>
      </w:r>
      <w:r>
        <w:t xml:space="preserve"> </w:t>
      </w:r>
      <w:r>
        <w:t xml:space="preserve">as</w:t>
      </w:r>
      <w:r>
        <w:t xml:space="preserve"> </w:t>
      </w:r>
      <w:r>
        <w:t xml:space="preserve">a</w:t>
      </w:r>
      <w:r>
        <w:t xml:space="preserve"> </w:t>
      </w:r>
      <w:r>
        <w:t xml:space="preserve">Cultural</w:t>
      </w:r>
      <w:r>
        <w:t xml:space="preserve"> </w:t>
      </w:r>
      <w:r>
        <w:t xml:space="preserve">Catalyst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The Cinematic Director as a Cultural Catalyst in Iraq Baghdad</dc:title>
  <dc:creator/>
  <dc:language>en</dc:language>
  <cp:keywords/>
  <dcterms:created xsi:type="dcterms:W3CDTF">2026-07-30T01:30:43Z</dcterms:created>
  <dcterms:modified xsi:type="dcterms:W3CDTF">2026-07-30T01:30:43Z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