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Cinematic</w:t>
      </w:r>
      <w:r>
        <w:t xml:space="preserve"> </w:t>
      </w:r>
      <w:r>
        <w:t xml:space="preserve">Director</w:t>
      </w:r>
      <w:r>
        <w:t xml:space="preserve"> </w:t>
      </w:r>
      <w:r>
        <w:t xml:space="preserve">as</w:t>
      </w:r>
      <w:r>
        <w:t xml:space="preserve"> </w:t>
      </w:r>
      <w:r>
        <w:t xml:space="preserve">a</w:t>
      </w:r>
      <w:r>
        <w:t xml:space="preserve"> </w:t>
      </w:r>
      <w:r>
        <w:t xml:space="preserve">Cultural</w:t>
      </w:r>
      <w:r>
        <w:t xml:space="preserve"> </w:t>
      </w:r>
      <w:r>
        <w:t xml:space="preserve">Catalyst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The Cinematic Director as a Cultural Catalyst in Iraq Baghdad</dc:title>
  <dc:creator/>
  <dc:language>en</dc:language>
  <cp:keywords/>
  <dcterms:created xsi:type="dcterms:W3CDTF">2026-09-27T20:31:46Z</dcterms:created>
  <dcterms:modified xsi:type="dcterms:W3CDTF">2026-09-27T20:31:46Z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