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Analysis</w:t>
      </w:r>
      <w:r>
        <w:t xml:space="preserve"> </w:t>
      </w:r>
      <w:r>
        <w:t xml:space="preserve">Framework</w:t>
      </w:r>
      <w:r>
        <w:t xml:space="preserve"> </w:t>
      </w:r>
      <w:r>
        <w:t xml:space="preserve">for</w:t>
      </w:r>
      <w:r>
        <w:t xml:space="preserve"> </w:t>
      </w:r>
      <w:r>
        <w:t xml:space="preserve">Argentina</w:t>
      </w:r>
      <w:r>
        <w:t xml:space="preserve"> </w:t>
      </w:r>
      <w:r>
        <w:t xml:space="preserve">Córdoba</w:t>
      </w:r>
    </w:p>
    <w:bookmarkStart w:id="31" w:name="Xfe9ce009bf4fa1a77ba5aa2669466e519cd2edb"/>
    <w:p>
      <w:pPr>
        <w:pStyle w:val="Heading1"/>
      </w:pPr>
      <w:r>
        <w:t xml:space="preserve">Laboratory Report: Comprehensive Financial Analyst Assessment for the Economic Region of Argentina, Córdoba Province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Economic Development Council of Córdoba</w:t>
      </w:r>
      <w:r>
        <w:br/>
      </w:r>
      <w:r>
        <w:rPr>
          <w:bCs/>
          <w:b/>
        </w:rPr>
        <w:t xml:space="preserve">From:</w:t>
      </w:r>
      <w:r>
        <w:t xml:space="preserve"> </w:t>
      </w:r>
      <w:r>
        <w:t xml:space="preserve">Senior Financial Analysis Unit</w:t>
      </w:r>
      <w:r>
        <w:br/>
      </w:r>
    </w:p>
    <w:p>
      <w:pPr>
        <w:pStyle w:val="BodyText"/>
      </w:pPr>
      <w:r>
        <w:t xml:space="preserve">The Role and Impact of the</w:t>
      </w:r>
      <w:r>
        <w:t xml:space="preserve"> </w:t>
      </w:r>
      <w:r>
        <w:rPr>
          <w:iCs/>
          <w:i/>
        </w:rPr>
        <w:t xml:space="preserve">Financial Analyst</w:t>
      </w:r>
    </w:p>
    <w:bookmarkStart w:id="20" w:name="introduction-and-contextual-background"/>
    <w:p>
      <w:pPr>
        <w:pStyle w:val="Heading3"/>
      </w:pPr>
      <w:r>
        <w:t xml:space="preserve">1. Introduction and Contextual Background</w:t>
      </w:r>
    </w:p>
    <w:p>
      <w:pPr>
        <w:pStyle w:val="FirstParagraph"/>
      </w:pPr>
      <w:r>
        <w:t xml:space="preserve">This laboratory report serves as a critical examination of the financial landscape specific to the province of</w:t>
      </w:r>
      <w:r>
        <w:t xml:space="preserve"> </w:t>
      </w:r>
      <w:r>
        <w:rPr>
          <w:bCs/>
          <w:b/>
        </w:rPr>
        <w:t xml:space="preserve">Argentina Córdoba</w:t>
      </w:r>
      <w:r>
        <w:t xml:space="preserve">. The primary objective is to define the operational scope, strategic importance, and technical requirements of the</w:t>
      </w:r>
      <w:r>
        <w:t xml:space="preserve"> </w:t>
      </w:r>
      <w:r>
        <w:rPr>
          <w:iCs/>
          <w:i/>
        </w:rPr>
        <w:t xml:space="preserve">Financial Analyst</w:t>
      </w:r>
      <w:r>
        <w:t xml:space="preserve"> </w:t>
      </w:r>
      <w:r>
        <w:t xml:space="preserve">role within this unique economic environment. Argentina’s macroeconomic history has been characterized by volatility, currency devaluation, and fluctuating regulatory frameworks. Within this context, Córdoba stands out as one of the nation’s most robust industrial and agricultural hubs.</w:t>
      </w:r>
    </w:p>
    <w:p>
      <w:pPr>
        <w:pStyle w:val="BodyText"/>
      </w:pPr>
      <w:r>
        <w:t xml:space="preserve">The</w:t>
      </w:r>
      <w:r>
        <w:t xml:space="preserve"> </w:t>
      </w:r>
      <w:r>
        <w:rPr>
          <w:bCs/>
          <w:b/>
        </w:rPr>
        <w:t xml:space="preserve">Argentina Córdoba</w:t>
      </w:r>
      <w:r>
        <w:t xml:space="preserve"> </w:t>
      </w:r>
      <w:r>
        <w:t xml:space="preserve">region possesses a distinct Gross Domestic Product (GDP) composition that differs significantly from the capital city of Buenos Aires. It relies heavily on agritech, automotive manufacturing, and software development. Consequently, the</w:t>
      </w:r>
      <w:r>
        <w:t xml:space="preserve"> </w:t>
      </w:r>
      <w:r>
        <w:rPr>
          <w:iCs/>
          <w:i/>
        </w:rPr>
        <w:t xml:space="preserve">Financial Analyst</w:t>
      </w:r>
      <w:r>
        <w:t xml:space="preserve"> </w:t>
      </w:r>
      <w:r>
        <w:t xml:space="preserve">operating in this sector cannot rely solely on traditional Western valuation models without significant adaptation for local inflationary pressures and currency controls (CEP). This lab report documents the methodologies required to assess corporate health and investment viability in this specific jurisdiction.</w:t>
      </w:r>
    </w:p>
    <w:bookmarkEnd w:id="20"/>
    <w:bookmarkStart w:id="21" w:name="X1472de57a9701229f26ab341dfb9bfffc7b9e50"/>
    <w:p>
      <w:pPr>
        <w:pStyle w:val="Heading3"/>
      </w:pPr>
      <w:r>
        <w:t xml:space="preserve">2. Methodology: Adapting Financial Models to Local Realities</w:t>
      </w:r>
    </w:p>
    <w:p>
      <w:pPr>
        <w:pStyle w:val="FirstParagraph"/>
      </w:pPr>
      <w:r>
        <w:t xml:space="preserve">In conducting this analysis, we established a framework that acknowledges the dual-currency reality of</w:t>
      </w:r>
      <w:r>
        <w:t xml:space="preserve"> </w:t>
      </w:r>
      <w:r>
        <w:rPr>
          <w:bCs/>
          <w:b/>
        </w:rPr>
        <w:t xml:space="preserve">Argentina Córdoba</w:t>
      </w:r>
      <w:r>
        <w:t xml:space="preserve">. The methodology for the</w:t>
      </w:r>
      <w:r>
        <w:t xml:space="preserve"> </w:t>
      </w:r>
      <w:r>
        <w:rPr>
          <w:iCs/>
          <w:i/>
        </w:rPr>
        <w:t xml:space="preserve">Financial Analyst</w:t>
      </w:r>
      <w:r>
        <w:t xml:space="preserve"> </w:t>
      </w:r>
      <w:r>
        <w:t xml:space="preserve">involves several key steps:</w:t>
      </w:r>
    </w:p>
    <w:p>
      <w:pPr>
        <w:numPr>
          <w:ilvl w:val="0"/>
          <w:numId w:val="1001"/>
        </w:numPr>
        <w:pStyle w:val="Compact"/>
      </w:pPr>
      <w:r>
        <w:rPr>
          <w:bCs/>
          <w:b/>
        </w:rPr>
        <w:t xml:space="preserve">Currency Conversion Protocols:</w:t>
      </w:r>
      <w:r>
        <w:t xml:space="preserve"> </w:t>
      </w:r>
      <w:r>
        <w:t xml:space="preserve">Due to the existence of multiple exchange rates (Official, Blue/CME, and MEP/LME), the</w:t>
      </w:r>
      <w:r>
        <w:t xml:space="preserve"> </w:t>
      </w:r>
      <w:r>
        <w:rPr>
          <w:iCs/>
          <w:i/>
        </w:rPr>
        <w:t xml:space="preserve">Financial Analyst</w:t>
      </w:r>
      <w:r>
        <w:t xml:space="preserve"> </w:t>
      </w:r>
      <w:r>
        <w:t xml:space="preserve">must determine which rate applies to specific cash flows. For companies in Córdoba with export-oriented agricultural products, using the MEP rate is often more accurate for valuation than the official government-set rate.</w:t>
      </w:r>
    </w:p>
    <w:p>
      <w:pPr>
        <w:numPr>
          <w:ilvl w:val="0"/>
          <w:numId w:val="1001"/>
        </w:numPr>
        <w:pStyle w:val="Compact"/>
      </w:pPr>
      <w:r>
        <w:rPr>
          <w:bCs/>
          <w:b/>
        </w:rPr>
        <w:t xml:space="preserve">Inflation Adjustment:</w:t>
      </w:r>
      <w:r>
        <w:t xml:space="preserve"> </w:t>
      </w:r>
      <w:r>
        <w:t xml:space="preserve">Argentina’s Consumer Price Index (IPC) and Producer Price Index (IPP) have historically exceeded 100% annually. The</w:t>
      </w:r>
      <w:r>
        <w:t xml:space="preserve"> </w:t>
      </w:r>
      <w:r>
        <w:rPr>
          <w:iCs/>
          <w:i/>
        </w:rPr>
        <w:t xml:space="preserve">Financial Analyst</w:t>
      </w:r>
      <w:r>
        <w:t xml:space="preserve"> </w:t>
      </w:r>
      <w:r>
        <w:t xml:space="preserve">must employ constant currency valuation techniques to compare historical balance sheets with current performance, ensuring that nominal gains are not mistaken for real operational growth.</w:t>
      </w:r>
    </w:p>
    <w:p>
      <w:pPr>
        <w:numPr>
          <w:ilvl w:val="0"/>
          <w:numId w:val="1001"/>
        </w:numPr>
        <w:pStyle w:val="Compact"/>
      </w:pPr>
      <w:r>
        <w:rPr>
          <w:bCs/>
          <w:b/>
        </w:rPr>
        <w:t xml:space="preserve">Risk Premium Calculation:</w:t>
      </w:r>
      <w:r>
        <w:t xml:space="preserve"> </w:t>
      </w:r>
      <w:r>
        <w:t xml:space="preserve">When analyzing companies in</w:t>
      </w:r>
      <w:r>
        <w:t xml:space="preserve"> </w:t>
      </w:r>
      <w:r>
        <w:rPr>
          <w:bCs/>
          <w:b/>
        </w:rPr>
        <w:t xml:space="preserve">Argentina Córdoba</w:t>
      </w:r>
      <w:r>
        <w:t xml:space="preserve">, the country risk premium (RCP) and the local sovereign default probability must be factored into the Weighted Average Cost of Capital (WACC). The</w:t>
      </w:r>
      <w:r>
        <w:t xml:space="preserve"> </w:t>
      </w:r>
      <w:r>
        <w:rPr>
          <w:iCs/>
          <w:i/>
        </w:rPr>
        <w:t xml:space="preserve">Financial Analyst</w:t>
      </w:r>
      <w:r>
        <w:t xml:space="preserve"> </w:t>
      </w:r>
      <w:r>
        <w:t xml:space="preserve">is responsible for adjusting discount rates to reflect the liquidity constraints inherent in the Argentine market.</w:t>
      </w:r>
    </w:p>
    <w:bookmarkEnd w:id="21"/>
    <w:bookmarkStart w:id="25" w:name="Xabad1f5681bb7666bc307ce6518164f51972ec7"/>
    <w:p>
      <w:pPr>
        <w:pStyle w:val="Heading3"/>
      </w:pPr>
      <w:r>
        <w:t xml:space="preserve">3. Sector-Specific Analysis: Córdoba’s Key Industries</w:t>
      </w:r>
    </w:p>
    <w:p>
      <w:pPr>
        <w:pStyle w:val="FirstParagraph"/>
      </w:pPr>
      <w:r>
        <w:t xml:space="preserve">The role of the</w:t>
      </w:r>
      <w:r>
        <w:t xml:space="preserve"> </w:t>
      </w:r>
      <w:r>
        <w:rPr>
          <w:iCs/>
          <w:i/>
        </w:rPr>
        <w:t xml:space="preserve">Financial Analyst</w:t>
      </w:r>
      <w:r>
        <w:t xml:space="preserve"> </w:t>
      </w:r>
      <w:r>
        <w:t xml:space="preserve">varies significantly depending on whether they are evaluating an agro-export firm in the north of Córdoba or a software house in the technological park (Parque Tecnológico) in Villa María. This lab report identifies three primary sectors requiring specialized attention:</w:t>
      </w:r>
    </w:p>
    <w:bookmarkStart w:id="22" w:name="agritech-and-agro-industry"/>
    <w:p>
      <w:pPr>
        <w:pStyle w:val="Heading4"/>
      </w:pPr>
      <w:r>
        <w:t xml:space="preserve">3.1 Agritech and Agro-Industry</w:t>
      </w:r>
    </w:p>
    <w:p>
      <w:pPr>
        <w:pStyle w:val="FirstParagraph"/>
      </w:pPr>
      <w:r>
        <w:t xml:space="preserve">Córdoba is a powerhouse for soy, corn, and wheat production. For this sector, the</w:t>
      </w:r>
      <w:r>
        <w:t xml:space="preserve"> </w:t>
      </w:r>
      <w:r>
        <w:rPr>
          <w:iCs/>
          <w:i/>
        </w:rPr>
        <w:t xml:space="preserve">Financial Analyst</w:t>
      </w:r>
      <w:r>
        <w:t xml:space="preserve"> </w:t>
      </w:r>
      <w:r>
        <w:t xml:space="preserve">must monitor export taxes (Retenciones) and international commodity prices. The financial health of these firms is heavily tied to their ability to retain foreign exchange or sell it at competitive parallel rates.</w:t>
      </w:r>
    </w:p>
    <w:bookmarkEnd w:id="22"/>
    <w:bookmarkStart w:id="23" w:name="automotive-manufacturing"/>
    <w:p>
      <w:pPr>
        <w:pStyle w:val="Heading4"/>
      </w:pPr>
      <w:r>
        <w:t xml:space="preserve">3.2 Automotive Manufacturing</w:t>
      </w:r>
    </w:p>
    <w:p>
      <w:pPr>
        <w:pStyle w:val="FirstParagraph"/>
      </w:pPr>
      <w:r>
        <w:t xml:space="preserve">The Córdoba region hosts major automotive plants (such as VEM, Ford, and Stellantis). Here, the</w:t>
      </w:r>
      <w:r>
        <w:t xml:space="preserve"> </w:t>
      </w:r>
      <w:r>
        <w:rPr>
          <w:iCs/>
          <w:i/>
        </w:rPr>
        <w:t xml:space="preserve">Financial Analyst</w:t>
      </w:r>
      <w:r>
        <w:t xml:space="preserve"> </w:t>
      </w:r>
      <w:r>
        <w:t xml:space="preserve">deals with complex supply chain costs denominated in USD while revenue is often generated in ARS. This currency mismatch creates a direct risk exposure that requires hedging strategies or dynamic pricing models.</w:t>
      </w:r>
    </w:p>
    <w:bookmarkEnd w:id="23"/>
    <w:bookmarkStart w:id="24" w:name="software-and-technology-services"/>
    <w:p>
      <w:pPr>
        <w:pStyle w:val="Heading4"/>
      </w:pPr>
      <w:r>
        <w:t xml:space="preserve">3.3 Software and Technology Services</w:t>
      </w:r>
    </w:p>
    <w:p>
      <w:pPr>
        <w:pStyle w:val="FirstParagraph"/>
      </w:pPr>
      <w:r>
        <w:t xml:space="preserve">This sector has gained prominence, attracting foreign investment. The</w:t>
      </w:r>
      <w:r>
        <w:t xml:space="preserve"> </w:t>
      </w:r>
      <w:r>
        <w:rPr>
          <w:iCs/>
          <w:i/>
        </w:rPr>
        <w:t xml:space="preserve">Financial Analyst</w:t>
      </w:r>
      <w:r>
        <w:t xml:space="preserve"> </w:t>
      </w:r>
      <w:r>
        <w:t xml:space="preserve">in this space evaluates intellectual property valuation and the efficiency of local talent costs compared to global outsourcing hubs. This is one of the few sectors where companies can generate significant hard-currency revenue streams locally.</w:t>
      </w:r>
    </w:p>
    <w:bookmarkEnd w:id="24"/>
    <w:bookmarkEnd w:id="25"/>
    <w:bookmarkStart w:id="26" w:name="regulatory-compliance-and-taxation"/>
    <w:p>
      <w:pPr>
        <w:pStyle w:val="Heading3"/>
      </w:pPr>
      <w:r>
        <w:t xml:space="preserve">4. Regulatory Compliance and Taxation</w:t>
      </w:r>
    </w:p>
    <w:p>
      <w:pPr>
        <w:pStyle w:val="FirstParagraph"/>
      </w:pPr>
      <w:r>
        <w:t xml:space="preserve">A critical aspect of being a</w:t>
      </w:r>
      <w:r>
        <w:t xml:space="preserve"> </w:t>
      </w:r>
      <w:r>
        <w:rPr>
          <w:iCs/>
          <w:i/>
        </w:rPr>
        <w:t xml:space="preserve">Financial Analyst</w:t>
      </w:r>
      <w:r>
        <w:t xml:space="preserve"> </w:t>
      </w:r>
      <w:r>
        <w:t xml:space="preserve">in</w:t>
      </w:r>
      <w:r>
        <w:t xml:space="preserve"> </w:t>
      </w:r>
      <w:r>
        <w:rPr>
          <w:bCs/>
          <w:b/>
        </w:rPr>
        <w:t xml:space="preserve">Argentina Córdoba</w:t>
      </w:r>
    </w:p>
    <w:p>
      <w:pPr>
        <w:pStyle w:val="BodyText"/>
      </w:pPr>
      <w:r>
        <w:t xml:space="preserve">The analyst must ensure that financial reporting complies with both local accounting standards (NIIF/IFRS) and the specific filing requirements of the Argentine Federal Administration of Public Revenues (AFIP). Failure to navigate these regulations correctly can lead to severe penalties, which the</w:t>
      </w:r>
      <w:r>
        <w:t xml:space="preserve"> </w:t>
      </w:r>
      <w:r>
        <w:rPr>
          <w:iCs/>
          <w:i/>
        </w:rPr>
        <w:t xml:space="preserve">Financial Analyst</w:t>
      </w:r>
      <w:r>
        <w:t xml:space="preserve"> </w:t>
      </w:r>
      <w:r>
        <w:t xml:space="preserve">must quantify as potential liabilities in their risk assessments.</w:t>
      </w:r>
    </w:p>
    <w:bookmarkEnd w:id="26"/>
    <w:bookmarkStart w:id="27" w:name="challenges-and-risk-mitigation"/>
    <w:p>
      <w:pPr>
        <w:pStyle w:val="Heading3"/>
      </w:pPr>
      <w:r>
        <w:t xml:space="preserve">5. Challenges and Risk Mitigation</w:t>
      </w:r>
    </w:p>
    <w:p>
      <w:pPr>
        <w:pStyle w:val="FirstParagraph"/>
      </w:pPr>
      <w:r>
        <w:t xml:space="preserve">The labor of the</w:t>
      </w:r>
      <w:r>
        <w:t xml:space="preserve"> </w:t>
      </w:r>
      <w:r>
        <w:rPr>
          <w:iCs/>
          <w:i/>
        </w:rPr>
        <w:t xml:space="preserve">Financial Analyst</w:t>
      </w:r>
      <w:r>
        <w:t xml:space="preserve"> </w:t>
      </w:r>
      <w:r>
        <w:t xml:space="preserve">in this region is fraught with challenges. The primary challenge is predictability. Policy shifts can occur rapidly, altering the tax burden or import restrictions overnight.</w:t>
      </w:r>
    </w:p>
    <w:p>
      <w:pPr>
        <w:pStyle w:val="BodyText"/>
      </w:pPr>
      <w:r>
        <w:t xml:space="preserve">Risk Factor</w:t>
      </w:r>
    </w:p>
    <w:p>
      <w:pPr>
        <w:pStyle w:val="BodyText"/>
      </w:pPr>
      <w:r>
        <w:t xml:space="preserve">Description</w:t>
      </w:r>
    </w:p>
    <w:p>
      <w:pPr>
        <w:pStyle w:val="BodyText"/>
      </w:pPr>
      <w:r>
        <w:t xml:space="preserve">Mitigation Strategy for Financial Analysts</w:t>
      </w:r>
    </w:p>
    <w:p>
      <w:pPr>
        <w:pStyle w:val="BodyText"/>
      </w:pPr>
      <w:r>
        <w:rPr>
          <w:bCs/>
          <w:b/>
        </w:rPr>
        <w:t xml:space="preserve">Currency Controls (Cepo)</w:t>
      </w:r>
      <w:r>
        <w:br/>
      </w:r>
      <w:r>
        <w:t xml:space="preserve">Difficulty repatriating profits or buying dollars at official rates.</w:t>
      </w:r>
    </w:p>
    <w:p>
      <w:pPr>
        <w:pStyle w:val="BodyText"/>
      </w:pPr>
      <w:r>
        <w:t xml:space="preserve">Liquidity Risk</w:t>
      </w:r>
    </w:p>
    <w:p>
      <w:pPr>
        <w:pStyle w:val="BodyText"/>
      </w:pPr>
      <w:r>
        <w:t xml:space="preserve">Frequent cash flow shortages due to delayed collections.</w:t>
      </w:r>
    </w:p>
    <w:p>
      <w:pPr>
        <w:pStyle w:val="BodyText"/>
      </w:pPr>
      <w:r>
        <w:t xml:space="preserve">Maintain conservative cash reserves; use factoring services common in Córdoba's industrial parks.</w:t>
      </w:r>
    </w:p>
    <w:p>
      <w:pPr>
        <w:pStyle w:val="BodyText"/>
      </w:pPr>
      <w:r>
        <w:rPr>
          <w:bCs/>
          <w:b/>
        </w:rPr>
        <w:t xml:space="preserve">Inflation Volatility</w:t>
      </w:r>
    </w:p>
    <w:p>
      <w:pPr>
        <w:pStyle w:val="BodyText"/>
      </w:pPr>
      <w:r>
        <w:t xml:space="preserve">Pricing Power</w:t>
      </w:r>
    </w:p>
    <w:p>
      <w:pPr>
        <w:pStyle w:val="BodyText"/>
      </w:pPr>
      <w:r>
        <w:t xml:space="preserve">.</w:t>
      </w:r>
      <w:r>
        <w:br/>
      </w:r>
      <w:r>
        <w:t xml:space="preserve">Inability to pass costs to consumers quickly enough.</w:t>
      </w:r>
    </w:p>
    <w:p>
      <w:pPr>
        <w:pStyle w:val="BodyText"/>
      </w:pPr>
      <w:r>
        <w:t xml:space="preserve">Frequent indexation clauses in contracts; dynamic pricing algorithms.</w:t>
      </w:r>
    </w:p>
    <w:p>
      <w:pPr>
        <w:pStyle w:val="BodyText"/>
      </w:pPr>
      <w:r>
        <w:rPr>
          <w:bCs/>
          <w:b/>
        </w:rPr>
        <w:t xml:space="preserve">Social Unrest</w:t>
      </w:r>
    </w:p>
    <w:p>
      <w:pPr>
        <w:pStyle w:val="BodyText"/>
      </w:pPr>
      <w:r>
        <w:t xml:space="preserve">Economic Impact.</w:t>
      </w:r>
      <w:r>
        <w:br/>
      </w:r>
      <w:r>
        <w:t xml:space="preserve">Strikes and protests disrupting logistics.</w:t>
      </w:r>
    </w:p>
    <w:p>
      <w:pPr>
        <w:pStyle w:val="BodyText"/>
      </w:pPr>
      <w:r>
        <w:t xml:space="preserve">Diversified supply chains; insurance coverage for business interruption.</w:t>
      </w:r>
    </w:p>
    <w:bookmarkEnd w:id="27"/>
    <w:bookmarkStart w:id="28" w:name="conclusion-and-recommendations"/>
    <w:p>
      <w:pPr>
        <w:pStyle w:val="Heading3"/>
      </w:pPr>
      <w:r>
        <w:t xml:space="preserve">6. Conclusion and Recommendations</w:t>
      </w:r>
    </w:p>
    <w:p>
      <w:pPr>
        <w:pStyle w:val="FirstParagraph"/>
      </w:pPr>
      <w:r>
        <w:t xml:space="preserve">This laboratory report concludes that the</w:t>
      </w:r>
      <w:r>
        <w:t xml:space="preserve"> </w:t>
      </w:r>
      <w:r>
        <w:rPr>
          <w:iCs/>
          <w:i/>
        </w:rPr>
        <w:t xml:space="preserve">Financial Analyst</w:t>
      </w:r>
      <w:r>
        <w:t xml:space="preserve"> </w:t>
      </w:r>
      <w:r>
        <w:t xml:space="preserve">is not merely a number-cruncher but a strategic navigator essential for survival in</w:t>
      </w:r>
      <w:r>
        <w:t xml:space="preserve"> </w:t>
      </w:r>
      <w:r>
        <w:rPr>
          <w:bCs/>
          <w:b/>
        </w:rPr>
        <w:t xml:space="preserve">Argentina Córdoba's</w:t>
      </w:r>
      <w:r>
        <w:t xml:space="preserve"> </w:t>
      </w:r>
      <w:r>
        <w:t xml:space="preserve">volatile market. The complexity of the Argentine economy demands professionals who can synthesize macroeconomic data with microeconomic corporate performance.</w:t>
      </w:r>
    </w:p>
    <w:p>
      <w:pPr>
        <w:pStyle w:val="BodyText"/>
      </w:pPr>
      <w:r>
        <w:t xml:space="preserve">We recommend that financial institutions and corporations operating in Córdoba invest heavily in advanced analytics tools capable of real-time inflation adjustment. Furthermore, continuous professional development for</w:t>
      </w:r>
      <w:r>
        <w:t xml:space="preserve"> </w:t>
      </w:r>
      <w:r>
        <w:rPr>
          <w:iCs/>
          <w:i/>
        </w:rPr>
        <w:t xml:space="preserve">Financial Analysts</w:t>
      </w:r>
      <w:r>
        <w:t xml:space="preserve"> </w:t>
      </w:r>
      <w:r>
        <w:t xml:space="preserve">regarding local legal frameworks is non-negotiable.</w:t>
      </w:r>
    </w:p>
    <w:p>
      <w:pPr>
        <w:pStyle w:val="BodyText"/>
      </w:pPr>
      <w:r>
        <w:t xml:space="preserve">By adopting the methodologies outlined in this report, stakeholders can better understand the true value creation potential within Córdoba's industries, separating nominal noise from actual economic substance. The future of financial stability in</w:t>
      </w:r>
      <w:r>
        <w:t xml:space="preserve"> </w:t>
      </w:r>
      <w:r>
        <w:rPr>
          <w:bCs/>
          <w:b/>
        </w:rPr>
        <w:t xml:space="preserve">Argentina Córdoba</w:t>
      </w:r>
    </w:p>
    <w:bookmarkEnd w:id="28"/>
    <w:bookmarkStart w:id="29" w:name="Xb7bc0cd245a5ed2cbb81e999bd99890cbfe9077"/>
    <w:p>
      <w:pPr>
        <w:pStyle w:val="Heading3"/>
      </w:pPr>
      <w:r>
        <w:t xml:space="preserve">depends on rigorous analysis and adaptive strategy.</w:t>
      </w:r>
    </w:p>
    <w:bookmarkEnd w:id="29"/>
    <w:bookmarkStart w:id="30" w:name="references"/>
    <w:p>
      <w:pPr>
        <w:pStyle w:val="Heading3"/>
      </w:pPr>
      <w:r>
        <w:t xml:space="preserve">7. References</w:t>
      </w:r>
    </w:p>
    <w:p>
      <w:pPr>
        <w:numPr>
          <w:ilvl w:val="0"/>
          <w:numId w:val="1002"/>
        </w:numPr>
        <w:pStyle w:val="Compact"/>
      </w:pPr>
      <w:r>
        <w:t xml:space="preserve">Banco Central de la República Argentina (BCRA) - Statistical Reports on Inflation and Exchange Rates.</w:t>
      </w:r>
    </w:p>
    <w:p>
      <w:pPr>
        <w:numPr>
          <w:ilvl w:val="0"/>
          <w:numId w:val="1002"/>
        </w:numPr>
        <w:pStyle w:val="Compact"/>
      </w:pPr>
      <w:r>
        <w:t xml:space="preserve">Cámara de Comercio, Industria y Servicios de Córdoba - Annual Industrial Output Data.</w:t>
      </w:r>
    </w:p>
    <w:p>
      <w:pPr>
        <w:numPr>
          <w:ilvl w:val="0"/>
          <w:numId w:val="1002"/>
        </w:numPr>
        <w:pStyle w:val="Compact"/>
      </w:pPr>
      <w:r>
        <w:t xml:space="preserve">National Institute of Statistics and Censuses (INDEC) - Consumer Price Index Methodologies.</w:t>
      </w:r>
    </w:p>
    <w:p>
      <w:pPr>
        <w:pStyle w:val="FirstParagraph"/>
      </w:pPr>
      <w:r>
        <w:t xml:space="preserve">End of Lab Report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Analysis Framework for Argentina Córdoba</dc:title>
  <dc:creator/>
  <cp:keywords/>
  <dcterms:created xsi:type="dcterms:W3CDTF">2026-07-29T10:39:28Z</dcterms:created>
  <dcterms:modified xsi:type="dcterms:W3CDTF">2026-07-29T10:39:28Z</dcterms:modified>
</cp:coreProperties>
</file>

<file path=docProps/custom.xml><?xml version="1.0" encoding="utf-8"?>
<Properties xmlns="http://schemas.openxmlformats.org/officeDocument/2006/custom-properties" xmlns:vt="http://schemas.openxmlformats.org/officeDocument/2006/docPropsVTypes"/>
</file>