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Framework</w:t>
      </w:r>
      <w:r>
        <w:t xml:space="preserve"> </w:t>
      </w:r>
      <w:r>
        <w:t xml:space="preserve">for</w:t>
      </w:r>
      <w:r>
        <w:t xml:space="preserve"> </w:t>
      </w:r>
      <w:r>
        <w:t xml:space="preserve">Brazil,</w:t>
      </w:r>
      <w:r>
        <w:t xml:space="preserve"> </w:t>
      </w:r>
      <w:r>
        <w:t xml:space="preserve">Brasília</w:t>
      </w:r>
    </w:p>
    <w:bookmarkStart w:id="25" w:name="Xb6d363ea06911c7e87ecc0b13536ec5639e8391"/>
    <w:p>
      <w:pPr>
        <w:pStyle w:val="Heading1"/>
      </w:pPr>
      <w:r>
        <w:t xml:space="preserve">Laboratory Report on Financial Analysis Methodologies within the Federal District of Brazil, Brasília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Comparative Financial Analysis of Public and Private Sector Entities in Brasília</w:t>
      </w:r>
    </w:p>
    <w:p>
      <w:pPr>
        <w:pStyle w:val="BodyText"/>
      </w:pPr>
      <w:r>
        <w:rPr>
          <w:bCs/>
          <w:b/>
        </w:rPr>
        <w:t xml:space="preserve">Laboratory Location:</w:t>
      </w:r>
      <w:r>
        <w:t xml:space="preserve"> </w:t>
      </w:r>
      <w:r>
        <w:t xml:space="preserve">Economic Research Institute, Federal District Government, Brazil Brasília</w:t>
      </w:r>
    </w:p>
    <w:bookmarkStart w:id="20" w:name="introduction-and-scope-of-the-lab-report"/>
    <w:p>
      <w:pPr>
        <w:pStyle w:val="Heading2"/>
      </w:pPr>
      <w:r>
        <w:t xml:space="preserve">1. Introduction and Scope of the Lab Report</w:t>
      </w:r>
    </w:p>
    <w:p>
      <w:pPr>
        <w:pStyle w:val="FirstParagraph"/>
      </w:pPr>
      <w:r>
        <w:t xml:space="preserve">The purpose of this comprehensive Laboratory Report is to establish a robust framework for evaluating financial health and economic stability within the unique administrative context of Brazil, specifically focusing on the capital city, Brasília. Unlike other Brazilian states where industrial production often drives local economies, Brazil Brasília operates as a service-oriented hub dominated by public administration, tourism, and specialized services. Therefore, standard financial analysis models require significant adaptation to account for the high concentration of government expenditure and federal transfers.</w:t>
      </w:r>
    </w:p>
    <w:p>
      <w:pPr>
        <w:pStyle w:val="BodyText"/>
      </w:pPr>
      <w:r>
        <w:t xml:space="preserve">This Lab Report aims to dissect the financial behaviors of key stakeholders in this region. The primary objective is to determine how a Financial Analyst must adjust their metrics when assessing entities in Brazil Brasília. We will explore liquidity ratios, debt sustainability, and revenue diversification strategies that are specific to the Federal District's economic ecosystem. By treating this analysis as a laboratory experiment, we can isolate variables such as federal transfer fluctuations and public sector wage bills to understand their impact on broader financial stability.</w:t>
      </w:r>
    </w:p>
    <w:bookmarkEnd w:id="20"/>
    <w:bookmarkStart w:id="21" w:name="X0ae7e9f10ad6aca18b3096dc4fbd8f39450a9a0"/>
    <w:p>
      <w:pPr>
        <w:pStyle w:val="Heading2"/>
      </w:pPr>
      <w:r>
        <w:t xml:space="preserve">2. Methodology: Adapting Financial Analysis Tools</w:t>
      </w:r>
    </w:p>
    <w:p>
      <w:pPr>
        <w:pStyle w:val="FirstParagraph"/>
      </w:pPr>
      <w:r>
        <w:t xml:space="preserve">In conducting this financial laboratory study, we employed a mixed-method approach combining quantitative ratio analysis with qualitative policy assessment. The core tool utilized by the Financial Analyst in this context is the Liquidity and Solvency Index, modified to reflect the Brazilian National Treasury's guidelines for subnational entities. Standard Western financial models often rely heavily on equity valuation; however, in Brazil Brasília, where state-owned enterprises (such as Companhia de Desenvolvimento do Planalto Central - CODEPLAN) play a pivotal role, cash flow forecasting takes precedence over equity metrics.</w:t>
      </w:r>
    </w:p>
    <w:p>
      <w:pPr>
        <w:pStyle w:val="BodyText"/>
      </w:pPr>
      <w:r>
        <w:t xml:space="preserve">The laboratory environment for this report assumes three distinct case studies:</w:t>
      </w:r>
    </w:p>
    <w:p>
      <w:pPr>
        <w:numPr>
          <w:ilvl w:val="0"/>
          <w:numId w:val="1001"/>
        </w:numPr>
        <w:pStyle w:val="Compact"/>
      </w:pPr>
      <w:r>
        <w:rPr>
          <w:bCs/>
          <w:b/>
        </w:rPr>
        <w:t xml:space="preserve">Case A:</w:t>
      </w:r>
      <w:r>
        <w:t xml:space="preserve">A major private corporation headquartered in the Setor de Autarquias Sul (SAS).</w:t>
      </w:r>
    </w:p>
    <w:p>
      <w:pPr>
        <w:numPr>
          <w:ilvl w:val="0"/>
          <w:numId w:val="1001"/>
        </w:numPr>
        <w:pStyle w:val="Compact"/>
      </w:pPr>
      <w:r>
        <w:rPr>
          <w:bCs/>
          <w:b/>
        </w:rPr>
        <w:t xml:space="preserve">Case B:</w:t>
      </w:r>
      <w:r>
        <w:t xml:space="preserve">A federal agency operating within the Brasília administrative region.</w:t>
      </w:r>
    </w:p>
    <w:p>
      <w:pPr>
        <w:numPr>
          <w:ilvl w:val="0"/>
          <w:numId w:val="1001"/>
        </w:numPr>
        <w:pStyle w:val="Compact"/>
      </w:pPr>
      <w:r>
        <w:rPr>
          <w:bCs/>
          <w:b/>
        </w:rPr>
        <w:t xml:space="preserve">Case C:</w:t>
      </w:r>
      <w:r>
        <w:t xml:space="preserve">A municipal service provider in a satellite city of Brazil Brasília, such as Ceilândia or Taguatinga.</w:t>
      </w:r>
    </w:p>
    <w:p>
      <w:pPr>
        <w:pStyle w:val="FirstParagraph"/>
      </w:pPr>
      <w:r>
        <w:t xml:space="preserve">Data was collected over a 24-month period to account for seasonal variations in tourism and federal budget disbursements. The Financial Analyst must navigate complex tax regimes, including the ICMS (Tax on Circulation of Goods and Services), which varies significantly between the Federal District and other states.</w:t>
      </w:r>
    </w:p>
    <w:bookmarkEnd w:id="21"/>
    <w:bookmarkStart w:id="23" w:name="X82457700a23b68ef1444d6bd17cc7ac8241beca"/>
    <w:p>
      <w:pPr>
        <w:pStyle w:val="Heading2"/>
      </w:pPr>
      <w:r>
        <w:t xml:space="preserve">3. Observations: The Unique Economic Landscape of Brazil Brasília</w:t>
      </w:r>
    </w:p>
    <w:p>
      <w:pPr>
        <w:pStyle w:val="FirstParagraph"/>
      </w:pPr>
      <w:r>
        <w:t xml:space="preserve">The observations from this laboratory report highlight several critical deviations from standard national financial trends. First, the reliance on federal transfers is not merely a factor but the dominant variable in the balance sheets of many entities in Brazil Brasília. For instance, Case B (the Federal Agency) showed zero organic revenue growth because its funding is entirely contingent upon congressional appropriations. A Financial Analyst assessing this entity must therefore monitor political cycles and legislative sessions more closely than traditional market indicators.</w:t>
      </w:r>
    </w:p>
    <w:p>
      <w:pPr>
        <w:pStyle w:val="BodyText"/>
      </w:pPr>
      <w:r>
        <w:t xml:space="preserve">Secondly, the labor cost structure in Brazil Brasília presents a unique challenge. The "Sobremesa" (late-night dinner allowance) and specific federal benefits create a higher baseline operational cost compared to São Paulo or Rio de Janeiro. When analyzing the Profit and Loss statements of entities operating in this region, these fixed costs must be flagged as non-negotiable overheads that significantly depress net margins despite high revenue volumes.</w:t>
      </w:r>
    </w:p>
    <w:bookmarkStart w:id="22" w:name="debt-sustainability-analysis"/>
    <w:p>
      <w:pPr>
        <w:pStyle w:val="Heading3"/>
      </w:pPr>
      <w:r>
        <w:t xml:space="preserve">3.1 Debt Sustainability Analysis</w:t>
      </w:r>
    </w:p>
    <w:p>
      <w:pPr>
        <w:pStyle w:val="FirstParagraph"/>
      </w:pPr>
      <w:r>
        <w:t xml:space="preserve">In our laboratory simulation, we applied the LRF (Complementary Law No. 101/2000), known as the Fiscal Responsibility Law, which governs public debt in Brazil Brasília. The results indicated that while private entities in Brazil Brasília enjoy low interest rates due to regional stability incentives, they face higher regulatory compliance costs. Conversely, public entities showed signs of debt restructuring due to rigid spending caps imposed by federal law. This dichotomy requires the Financial Analyst to apply two different risk models simultaneously when evaluating the broader economic health of Brazil Brasília.</w:t>
      </w:r>
    </w:p>
    <w:bookmarkEnd w:id="22"/>
    <w:bookmarkEnd w:id="23"/>
    <w:bookmarkStart w:id="24" w:name="data-analysis-and-interpretation"/>
    <w:p>
      <w:pPr>
        <w:pStyle w:val="Heading2"/>
      </w:pPr>
      <w:r>
        <w:t xml:space="preserve">4. Data Analysis and Interpretation</w:t>
      </w:r>
    </w:p>
    <w:p>
      <w:pPr>
        <w:pStyle w:val="FirstParagraph"/>
      </w:pPr>
      <w:r>
        <w:t xml:space="preserve">Metric</w:t>
      </w:r>
    </w:p>
    <w:p>
      <w:pPr>
        <w:pStyle w:val="BodyText"/>
      </w:pPr>
      <w:r>
        <w:t xml:space="preserve">National Average (São Paulo)</w:t>
      </w:r>
    </w:p>
    <w:p>
      <w:pPr>
        <w:pStyle w:val="BodyText"/>
      </w:pPr>
      <w:r>
        <w:t xml:space="preserve">Brazil Brasília Specifics</w:t>
      </w:r>
    </w:p>
    <w:p>
      <w:pPr>
        <w:pStyle w:val="BodyText"/>
      </w:pPr>
      <w:r>
        <w:br/>
      </w:r>
    </w:p>
    <w:p>
      <w:pPr>
        <w:pStyle w:val="BodyText"/>
      </w:pPr>
      <w:r>
        <w:br/>
      </w:r>
    </w:p>
    <w:p>
      <w:pPr>
        <w:pStyle w:val="BodyText"/>
      </w:pPr>
      <w:r>
        <w:br/>
      </w:r>
    </w:p>
    <w:p>
      <w:pPr>
        <w:pStyle w:val="BodyText"/>
      </w:pPr>
      <w:r>
        <w:t xml:space="preserve">Average Tax Burden</w:t>
      </w:r>
    </w:p>
    <w:p>
      <w:pPr>
        <w:pStyle w:val="BodyText"/>
      </w:pPr>
      <w:r>
        <w:t xml:space="preserve">32%</w:t>
      </w:r>
    </w:p>
    <w:p>
      <w:pPr>
        <w:pStyle w:val="BodyText"/>
      </w:pPr>
      <w:r>
        <w:t xml:space="preserve">28% (Due to ICMS exemptions)</w:t>
      </w:r>
    </w:p>
    <w:p>
      <w:pPr>
        <w:pStyle w:val="BodyText"/>
      </w:pPr>
      <w:r>
        <w:br/>
      </w:r>
    </w:p>
    <w:p>
      <w:pPr>
        <w:pStyle w:val="BodyText"/>
      </w:pPr>
      <w:r>
        <w:br/>
      </w:r>
    </w:p>
    <w:p>
      <w:pPr>
        <w:pStyle w:val="BodyText"/>
      </w:pPr>
      <w:r>
        <w:t xml:space="preserve">Metric</w:t>
      </w:r>
    </w:p>
    <w:p>
      <w:pPr>
        <w:pStyle w:val="BodyText"/>
      </w:pPr>
      <w:r>
        <w:t xml:space="preserve">/thead&gt;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Financial Analysis Framework for Brazil, Brasília</dc:title>
  <dc:creator/>
  <cp:keywords/>
  <dcterms:created xsi:type="dcterms:W3CDTF">2026-07-29T20:28:59Z</dcterms:created>
  <dcterms:modified xsi:type="dcterms:W3CDTF">2026-07-29T20:28:59Z</dcterms:modified>
</cp:coreProperties>
</file>

<file path=docProps/custom.xml><?xml version="1.0" encoding="utf-8"?>
<Properties xmlns="http://schemas.openxmlformats.org/officeDocument/2006/custom-properties" xmlns:vt="http://schemas.openxmlformats.org/officeDocument/2006/docPropsVTypes"/>
</file>