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Financial</w:t>
      </w:r>
      <w:r>
        <w:t xml:space="preserve"> </w:t>
      </w:r>
      <w:r>
        <w:t xml:space="preserve">Analyst</w:t>
      </w:r>
      <w:r>
        <w:t xml:space="preserve"> </w:t>
      </w:r>
      <w:r>
        <w:t xml:space="preserve">Operations</w:t>
      </w:r>
      <w:r>
        <w:t xml:space="preserve"> </w:t>
      </w:r>
      <w:r>
        <w:t xml:space="preserve">in</w:t>
      </w:r>
      <w:r>
        <w:t xml:space="preserve"> </w:t>
      </w:r>
      <w:r>
        <w:t xml:space="preserve">China</w:t>
      </w:r>
      <w:r>
        <w:t xml:space="preserve"> </w:t>
      </w:r>
      <w:r>
        <w:t xml:space="preserve">Guangzhou</w:t>
      </w:r>
    </w:p>
    <w:p>
      <w:pPr>
        <w:pStyle w:val="FirstParagraph"/>
      </w:pPr>
      <w:r>
        <w:t xml:space="preserve">```html</w:t>
      </w:r>
    </w:p>
    <w:bookmarkStart w:id="20" w:name="Xc4da025f00f4f408730d39cf16c4c7ed2e75124"/>
    <w:p>
      <w:pPr>
        <w:pStyle w:val="Heading1"/>
      </w:pPr>
      <w:r>
        <w:t xml:space="preserve">Laboratory Report on Financial Analysis Strategies in China Guangzhou</w:t>
      </w:r>
    </w:p>
    <w:p>
      <w:pPr>
        <w:pStyle w:val="FirstParagraph"/>
      </w:pPr>
      <w:r>
        <w:rPr>
          <w:bCs/>
          <w:b/>
        </w:rPr>
        <w:t xml:space="preserve">Date:</w:t>
      </w:r>
      <w:r>
        <w:t xml:space="preserve"> </w:t>
      </w:r>
      <w:r>
        <w:t xml:space="preserve">October 26, 2023</w:t>
      </w:r>
      <w:r>
        <w:br/>
      </w:r>
      <w:r>
        <w:rPr>
          <w:bCs/>
          <w:b/>
        </w:rPr>
        <w:t xml:space="preserve">Laboratory:</w:t>
      </w:r>
      <w:r>
        <w:t xml:space="preserve"> </w:t>
      </w:r>
      <w:r>
        <w:t xml:space="preserve">Advanced Economic Research Lab</w:t>
      </w:r>
      <w:r>
        <w:br/>
      </w:r>
      <w:r>
        <w:rPr>
          <w:bCs/>
          <w:b/>
        </w:rPr>
        <w:t xml:space="preserve">Analyzed By:</w:t>
      </w:r>
      <w:r>
        <w:t xml:space="preserve"> </w:t>
      </w:r>
      <w:r>
        <w:t xml:space="preserve">Senior Financial Analyst Team</w:t>
      </w:r>
      <w:r>
        <w:br/>
      </w:r>
      <w:r>
        <w:rPr>
          <w:bCs/>
          <w:b/>
        </w:rPr>
        <w:t xml:space="preserve">Jurisdiction Focus:</w:t>
      </w:r>
      <w:r>
        <w:t xml:space="preserve"> </w:t>
      </w:r>
      <w:r>
        <w:t xml:space="preserve">China Guangzhou</w:t>
      </w:r>
    </w:p>
    <w:bookmarkEnd w:id="20"/>
    <w:p>
      <w:r>
        <w:pict>
          <v:rect style="width:0;height:1.5pt" o:hralign="center" o:hrstd="t" o:hr="t"/>
        </w:pict>
      </w:r>
    </w:p>
    <w:bookmarkStart w:id="23" w:name="executive-summary"/>
    <w:bookmarkStart w:id="22" w:name="i.-executive-summary"/>
    <w:p>
      <w:pPr>
        <w:pStyle w:val="Heading2"/>
      </w:pPr>
      <w:r>
        <w:t xml:space="preserve">I. Executive Summary</w:t>
      </w:r>
    </w:p>
    <w:p>
      <w:pPr>
        <w:pStyle w:val="FirstParagraph"/>
      </w:pPr>
      <w:r>
        <w:t xml:space="preserve">This laboratory report serves as a comprehensive examination of the role, responsibilities, and strategic implications of the</w:t>
      </w:r>
      <w:r>
        <w:t xml:space="preserve"> </w:t>
      </w:r>
      <w:r>
        <w:rPr>
          <w:iCs/>
          <w:i/>
          <w:bCs/>
          <w:b/>
        </w:rPr>
        <w:t xml:space="preserve">Financial Analyst</w:t>
      </w:r>
      <w:r>
        <w:t xml:space="preserve"> </w:t>
      </w:r>
      <w:r>
        <w:t xml:space="preserve">position within the dynamic economic landscape of</w:t>
      </w:r>
      <w:r>
        <w:t xml:space="preserve"> </w:t>
      </w:r>
      <w:r>
        <w:rPr>
          <w:iCs/>
          <w:i/>
          <w:bCs/>
          <w:b/>
        </w:rPr>
        <w:t xml:space="preserve">China Guangzhou</w:t>
      </w:r>
      <w:r>
        <w:t xml:space="preserve">. As one of China’s most vital hubs for trade, technology, and manufacturing in the Guangdong province (</w:t>
      </w:r>
      <w:bookmarkStart w:id="21" w:name="lab-report"/>
      <w:bookmarkEnd w:id="21"/>
      <w:r>
        <w:t xml:space="preserve">GDP powerhouse), Guangzhou presents a unique set of financial challenges and opportunities. The objective of this</w:t>
      </w:r>
      <w:r>
        <w:t xml:space="preserve"> </w:t>
      </w:r>
      <w:hyperlink w:anchor="lab-report">
        <w:r>
          <w:rPr>
            <w:rStyle w:val="Hyperlink"/>
            <w:iCs/>
            <w:i/>
          </w:rPr>
          <w:t xml:space="preserve">Lab Report</w:t>
        </w:r>
      </w:hyperlink>
      <w:r>
        <w:t xml:space="preserve"> </w:t>
      </w:r>
      <w:r>
        <w:t xml:space="preserve">is to dissect how modern financial analysis methodologies must be adapted to local regulatory frameworks, cultural business practices, and the rapid digitalization occurring in Southern China.</w:t>
      </w:r>
    </w:p>
    <w:p>
      <w:pPr>
        <w:pStyle w:val="BodyText"/>
      </w:pPr>
      <w:r>
        <w:t xml:space="preserve">The findings indicate that a successful</w:t>
      </w:r>
      <w:r>
        <w:t xml:space="preserve"> </w:t>
      </w:r>
      <w:r>
        <w:rPr>
          <w:iCs/>
          <w:i/>
          <w:bCs/>
          <w:b/>
        </w:rPr>
        <w:t xml:space="preserve">Financial Analyst</w:t>
      </w:r>
      <w:r>
        <w:t xml:space="preserve"> </w:t>
      </w:r>
      <w:r>
        <w:t xml:space="preserve">operating in this region cannot rely solely on global standard accounting principles. Instead, they must possess a nuanced understanding of the Pearl River Delta’s specific economic drivers. This document details the procedural adjustments required for accurate forecasting, risk assessment, and capital allocation within the</w:t>
      </w:r>
      <w:r>
        <w:t xml:space="preserve"> </w:t>
      </w:r>
      <w:r>
        <w:rPr>
          <w:iCs/>
          <w:i/>
          <w:bCs/>
          <w:b/>
        </w:rPr>
        <w:t xml:space="preserve">China Guangzhou</w:t>
      </w:r>
      <w:r>
        <w:t xml:space="preserve"> </w:t>
      </w:r>
      <w:r>
        <w:t xml:space="preserve">market.</w:t>
      </w:r>
    </w:p>
    <w:bookmarkEnd w:id="22"/>
    <w:bookmarkEnd w:id="23"/>
    <w:bookmarkStart w:id="25" w:name="introduction"/>
    <w:bookmarkStart w:id="24" w:name="X7feab2bde8d4848a4b0ee3c48e5592e5c5c5300"/>
    <w:p>
      <w:pPr>
        <w:pStyle w:val="Heading2"/>
      </w:pPr>
      <w:r>
        <w:t xml:space="preserve">II. Introduction: The Context of China Guangzhou</w:t>
      </w:r>
    </w:p>
    <w:p>
      <w:pPr>
        <w:pStyle w:val="FirstParagraph"/>
      </w:pPr>
      <w:r>
        <w:t xml:space="preserve">The city of</w:t>
      </w:r>
      <w:r>
        <w:t xml:space="preserve"> </w:t>
      </w:r>
      <w:r>
        <w:rPr>
          <w:iCs/>
          <w:i/>
          <w:bCs/>
          <w:b/>
        </w:rPr>
        <w:t xml:space="preserve">China Guangzhou</w:t>
      </w:r>
      <w:r>
        <w:t xml:space="preserve">, the capital of Guangdong province, serves as a critical gateway for international commerce. Historically known as the starting point of the Maritime Silk Road, it has evolved into a modern metropolis housing the famous Canton Fair (China Import and Export Fair). For any</w:t>
      </w:r>
      <w:r>
        <w:t xml:space="preserve"> </w:t>
      </w:r>
      <w:r>
        <w:rPr>
          <w:iCs/>
          <w:i/>
          <w:bCs/>
          <w:b/>
        </w:rPr>
        <w:t xml:space="preserve">Financial Analyst</w:t>
      </w:r>
      <w:r>
        <w:t xml:space="preserve"> </w:t>
      </w:r>
      <w:r>
        <w:t xml:space="preserve">evaluating investments or corporate performance in this region, understanding these historical roots is paramount. The economic pulse of Guangzhou is driven by exports, advanced manufacturing, and an increasingly robust service sector.</w:t>
      </w:r>
    </w:p>
    <w:p>
      <w:pPr>
        <w:pStyle w:val="BodyText"/>
      </w:pPr>
      <w:r>
        <w:t xml:space="preserve">This</w:t>
      </w:r>
      <w:r>
        <w:t xml:space="preserve"> </w:t>
      </w:r>
      <w:hyperlink w:anchor="lab-report">
        <w:r>
          <w:rPr>
            <w:rStyle w:val="Hyperlink"/>
            <w:iCs/>
            <w:i/>
            <w:bCs/>
            <w:b/>
          </w:rPr>
          <w:t xml:space="preserve">Lab Report</w:t>
        </w:r>
      </w:hyperlink>
      <w:r>
        <w:t xml:space="preserve"> </w:t>
      </w:r>
      <w:r>
        <w:t xml:space="preserve">aims to bridge the gap between theoretical financial modeling and the practical realities of operating in Southern China. The distinct regulatory environment imposed by local authorities in Guangzhou, alongside the national policies emanating from Beijing, creates a complex web for compliance and strategic planning. Therefore, this analysis focuses specifically on how</w:t>
      </w:r>
      <w:r>
        <w:t xml:space="preserve"> </w:t>
      </w:r>
      <w:r>
        <w:rPr>
          <w:iCs/>
          <w:i/>
          <w:bCs/>
          <w:b/>
        </w:rPr>
        <w:t xml:space="preserve">Financial Analyst</w:t>
      </w:r>
      <w:r>
        <w:t xml:space="preserve"> </w:t>
      </w:r>
      <w:r>
        <w:t xml:space="preserve">professionals must navigate these waters to provide accurate insights for stakeholders.</w:t>
      </w:r>
    </w:p>
    <w:bookmarkEnd w:id="24"/>
    <w:bookmarkEnd w:id="25"/>
    <w:bookmarkStart w:id="27" w:name="methodology"/>
    <w:bookmarkStart w:id="26" w:name="iii.-methodological-approach"/>
    <w:p>
      <w:pPr>
        <w:pStyle w:val="Heading2"/>
      </w:pPr>
      <w:r>
        <w:t xml:space="preserve">III. Methodological Approach</w:t>
      </w:r>
    </w:p>
    <w:p>
      <w:pPr>
        <w:pStyle w:val="FirstParagraph"/>
      </w:pPr>
      <w:r>
        <w:t xml:space="preserve">To ensure the integrity of this</w:t>
      </w:r>
      <w:r>
        <w:t xml:space="preserve"> </w:t>
      </w:r>
      <w:hyperlink w:anchor="lab-report">
        <w:r>
          <w:rPr>
            <w:rStyle w:val="Hyperlink"/>
            <w:iCs/>
            <w:i/>
            <w:bCs/>
            <w:b/>
          </w:rPr>
          <w:t xml:space="preserve">Lab Report</w:t>
        </w:r>
      </w:hyperlink>
      <w:r>
        <w:t xml:space="preserve">, a multi-faceted approach was adopted. The methodology combines quantitative data analysis with qualitative field observations relevant to the</w:t>
      </w:r>
      <w:r>
        <w:t xml:space="preserve"> </w:t>
      </w:r>
      <w:r>
        <w:rPr>
          <w:iCs/>
          <w:i/>
          <w:bCs/>
          <w:b/>
        </w:rPr>
        <w:t xml:space="preserve">China Guangzhou</w:t>
      </w:r>
      <w:r>
        <w:t xml:space="preserve"> </w:t>
      </w:r>
      <w:r>
        <w:t xml:space="preserve">business environment.</w:t>
      </w:r>
    </w:p>
    <w:p>
      <w:pPr>
        <w:numPr>
          <w:ilvl w:val="0"/>
          <w:numId w:val="1001"/>
        </w:numPr>
        <w:pStyle w:val="Compact"/>
      </w:pPr>
      <w:r>
        <w:rPr>
          <w:bCs/>
          <w:b/>
        </w:rPr>
        <w:t xml:space="preserve">Data Collection:</w:t>
      </w:r>
      <w:r>
        <w:t xml:space="preserve"> </w:t>
      </w:r>
      <w:r>
        <w:t xml:space="preserve">Financial statements, local tax regulations, and market trends specific to Guangzhou were aggregated from primary sources including the Guangzhou Municipal Statistics Bureau and international financial databases.</w:t>
      </w:r>
    </w:p>
    <w:p>
      <w:pPr>
        <w:numPr>
          <w:ilvl w:val="0"/>
          <w:numId w:val="1001"/>
        </w:numPr>
        <w:pStyle w:val="Compact"/>
      </w:pPr>
      <w:r>
        <w:rPr>
          <w:iCs/>
          <w:i/>
        </w:rPr>
        <w:t xml:space="preserve">Case Study Analysis:</w:t>
      </w:r>
      <w:r>
        <w:t xml:space="preserve"> </w:t>
      </w:r>
      <w:r>
        <w:t xml:space="preserve">We examined three multinational corporations currently establishing regional headquarters in</w:t>
      </w:r>
      <w:r>
        <w:t xml:space="preserve"> </w:t>
      </w:r>
      <w:r>
        <w:rPr>
          <w:iCs/>
          <w:i/>
          <w:bCs/>
          <w:b/>
        </w:rPr>
        <w:t xml:space="preserve">China Guangzhou</w:t>
      </w:r>
      <w:r>
        <w:t xml:space="preserve">. The focus was on how their hired</w:t>
      </w:r>
    </w:p>
    <w:p>
      <w:pPr>
        <w:numPr>
          <w:ilvl w:val="0"/>
          <w:numId w:val="1000"/>
        </w:numPr>
        <w:pStyle w:val="Compact"/>
      </w:pPr>
      <w:r>
        <w:t xml:space="preserve">Financial Analystss adapted global models to local constraints.</w:t>
      </w:r>
    </w:p>
    <w:p>
      <w:pPr>
        <w:numPr>
          <w:ilvl w:val="0"/>
          <w:numId w:val="1001"/>
        </w:numPr>
        <w:pStyle w:val="Compact"/>
      </w:pPr>
      <w:r>
        <w:t xml:space="preserve">Sensitivity Testing::</w:t>
      </w:r>
    </w:p>
    <w:p>
      <w:pPr>
        <w:numPr>
          <w:ilvl w:val="0"/>
          <w:numId w:val="1000"/>
        </w:numPr>
        <w:pStyle w:val="Compact"/>
      </w:pPr>
      <w:r>
        <w:t xml:space="preserve">This step involved stress-testing financial projections against potential regulatory changes in the Greater Bay Area initiative, which significantly impacts Guangzhou’s economic trajectory.</w:t>
      </w:r>
    </w:p>
    <w:p>
      <w:pPr>
        <w:numPr>
          <w:ilvl w:val="0"/>
          <w:numId w:val="1001"/>
        </w:numPr>
        <w:pStyle w:val="Compact"/>
      </w:pPr>
      <w:r>
        <w:rPr>
          <w:iCs/>
          <w:i/>
        </w:rPr>
        <w:t xml:space="preserve">Cultural Integration Assessment:</w:t>
      </w:r>
      <w:r>
        <w:t xml:space="preserve">:</w:t>
      </w:r>
    </w:p>
    <w:p>
      <w:pPr>
        <w:numPr>
          <w:ilvl w:val="0"/>
          <w:numId w:val="1000"/>
        </w:numPr>
        <w:pStyle w:val="Compact"/>
      </w:pPr>
      <w:r>
        <w:t xml:space="preserve">Understanding the role of "Guanxi" (relationships) in financial negotiations and how it influences non-GAAP accounting practices.</w:t>
      </w:r>
    </w:p>
    <w:bookmarkEnd w:id="26"/>
    <w:bookmarkEnd w:id="27"/>
    <w:bookmarkStart w:id="32" w:name="analysis"/>
    <w:bookmarkStart w:id="31" w:name="X0fe33f4a6767ac54bf5eb5b92f13ae7b820ff47"/>
    <w:p>
      <w:pPr>
        <w:pStyle w:val="Heading2"/>
      </w:pPr>
      <w:r>
        <w:t xml:space="preserve">IV. Analysis: The Role of the Financial Analyst in China Guangzhou</w:t>
      </w:r>
    </w:p>
    <w:bookmarkStart w:id="28" w:name="X6659d0f3b36f64adaff1b013eef3dda3b915915"/>
    <w:p>
      <w:pPr>
        <w:pStyle w:val="Heading3"/>
      </w:pPr>
      <w:r>
        <w:t xml:space="preserve">A. Regulatory Compliance and Local Standards</w:t>
      </w:r>
    </w:p>
    <w:p>
      <w:pPr>
        <w:pStyle w:val="FirstParagraph"/>
      </w:pPr>
      <w:r>
        <w:t xml:space="preserve">The primary challenge faced by a</w:t>
      </w:r>
    </w:p>
    <w:p>
      <w:pPr>
        <w:pStyle w:val="BodyText"/>
      </w:pPr>
      <w:hyperlink w:anchor="lab-report">
        <w:r>
          <w:rPr>
            <w:rStyle w:val="Hyperlink"/>
          </w:rPr>
          <w:t xml:space="preserve">Financial Analyst</w:t>
        </w:r>
      </w:hyperlink>
      <w:r>
        <w:t xml:space="preserve"> </w:t>
      </w:r>
      <w:r>
        <w:t xml:space="preserve">in this region is the divergence between International Financial Reporting Standards (IFRS) and Chinese Accounting Standards (CAS). In</w:t>
      </w:r>
    </w:p>
    <w:p>
      <w:pPr>
        <w:pStyle w:val="BodyText"/>
      </w:pPr>
      <w:r>
        <w:rPr>
          <w:iCs/>
          <w:i/>
        </w:rPr>
        <w:t xml:space="preserve">China Guangzhou</w:t>
      </w:r>
      <w:r>
        <w:t xml:space="preserve">:</w:t>
      </w:r>
    </w:p>
    <w:p>
      <w:pPr>
        <w:pStyle w:val="BodyText"/>
      </w:pPr>
      <w:r>
        <w:t xml:space="preserve">, local entities often prepare reports based on CAS for regulatory approval, while parent companies may require IFRS for consolidated reporting. The</w:t>
      </w:r>
    </w:p>
    <w:p>
      <w:pPr>
        <w:pStyle w:val="BodyText"/>
      </w:pPr>
      <w:r>
        <w:t xml:space="preserve">Financial Analyst:</w:t>
      </w:r>
    </w:p>
    <w:p>
      <w:pPr>
        <w:pStyle w:val="BodyText"/>
      </w:pPr>
      <w:r>
        <w:t xml:space="preserve">must act as a translator between these two systems, ensuring that financial data remains consistent and compliant. This double-bookkeeping requirement adds significant complexity to the</w:t>
      </w:r>
      <w:r>
        <w:t xml:space="preserve"> </w:t>
      </w:r>
      <w:hyperlink w:anchor="lab-report">
        <w:r>
          <w:rPr>
            <w:rStyle w:val="Hyperlink"/>
            <w:iCs/>
            <w:i/>
          </w:rPr>
          <w:t xml:space="preserve">Lab Report</w:t>
        </w:r>
      </w:hyperlink>
      <w:r>
        <w:t xml:space="preserve">s generated by local teams.</w:t>
      </w:r>
    </w:p>
    <w:bookmarkEnd w:id="28"/>
    <w:bookmarkStart w:id="29" w:name="X8cdd4e3b55f91d7bd18e9f4d2c20e481849c7ee"/>
    <w:p>
      <w:pPr>
        <w:pStyle w:val="Heading3"/>
      </w:pPr>
      <w:r>
        <w:t xml:space="preserve">B. The Impact of the Greater Bay Area (GBA)</w:t>
      </w:r>
    </w:p>
    <w:p>
      <w:pPr>
        <w:pStyle w:val="FirstParagraph"/>
      </w:pPr>
      <w:r>
        <w:t xml:space="preserve">The integration of Guangzhou into the Guangdong-Hong Kong-Macao Greater Bay Area is a pivotal theme for any</w:t>
      </w:r>
    </w:p>
    <w:p>
      <w:pPr>
        <w:pStyle w:val="BodyText"/>
      </w:pPr>
      <w:hyperlink w:anchor="lab-report">
        <w:r>
          <w:rPr>
            <w:rStyle w:val="Hyperlink"/>
          </w:rPr>
          <w:t xml:space="preserve">Financial Analyst</w:t>
        </w:r>
      </w:hyperlink>
      <w:r>
        <w:t xml:space="preserve">. This regional strategy aims to create a world-class urban cluster. Financial projections must account for cross-border capital flows, differing legal jurisdictions (Macau’s gaming laws vs. Mainland China’s strict capital controls), and technological integration.</w:t>
      </w:r>
    </w:p>
    <w:p>
      <w:pPr>
        <w:pStyle w:val="BodyText"/>
      </w:pPr>
      <w:r>
        <w:t xml:space="preserve">Our analysis shows that</w:t>
      </w:r>
    </w:p>
    <w:p>
      <w:pPr>
        <w:pStyle w:val="BodyText"/>
      </w:pPr>
      <w:r>
        <w:t xml:space="preserve">Financial Analyst:</w:t>
      </w:r>
    </w:p>
    <w:p>
      <w:pPr>
        <w:pStyle w:val="BodyText"/>
      </w:pPr>
      <w:r>
        <w:t xml:space="preserve">s in Guangzhou are increasingly tasked with evaluating investment opportunities in Hong Kong as a financing hub while managing operational risks in the mainland. This dual-focus requires sophisticated hedging strategies and a deep understanding of currency fluctuation risks involving the Renminbi (RMB) and the Hong Kong Dollar (HKD).</w:t>
      </w:r>
    </w:p>
    <w:bookmarkEnd w:id="29"/>
    <w:bookmarkStart w:id="30" w:name="c.-technology-and-digital-finance"/>
    <w:p>
      <w:pPr>
        <w:pStyle w:val="Heading3"/>
      </w:pPr>
      <w:r>
        <w:t xml:space="preserve">C. Technology and Digital Finance</w:t>
      </w:r>
    </w:p>
    <w:p>
      <w:pPr>
        <w:pStyle w:val="FirstParagraph"/>
      </w:pPr>
      <w:r>
        <w:rPr>
          <w:iCs/>
          <w:i/>
        </w:rPr>
        <w:t xml:space="preserve">China Guangzhou</w:t>
      </w:r>
      <w:r>
        <w:t xml:space="preserve">:</w:t>
      </w:r>
    </w:p>
    <w:p>
      <w:pPr>
        <w:pStyle w:val="BodyText"/>
      </w:pPr>
      <w:r>
        <w:t xml:space="preserve">is at the forefront of China’s fintech revolution. From digital payments to blockchain supply chain finance, technology is reshaping traditional banking. Consequently, the</w:t>
      </w:r>
    </w:p>
    <w:p>
      <w:pPr>
        <w:pStyle w:val="BodyText"/>
      </w:pPr>
      <w:r>
        <w:t xml:space="preserve">Financial Analyst:</w:t>
      </w:r>
    </w:p>
    <w:p>
      <w:pPr>
        <w:pStyle w:val="BodyText"/>
      </w:pPr>
      <w:r>
        <w:t xml:space="preserve">s role has evolved from mere reporting to predictive analytics using big data.</w:t>
      </w:r>
    </w:p>
    <w:p>
      <w:pPr>
        <w:pStyle w:val="BodyText"/>
      </w:pPr>
      <w:r>
        <w:rPr>
          <w:bCs/>
          <w:b/>
        </w:rPr>
        <w:t xml:space="preserve">Table 1: Key Tech Drivers Influencing Financial Analysis in Guangzhou</w:t>
      </w:r>
    </w:p>
    <w:p>
      <w:pPr>
        <w:pStyle w:val="BodyText"/>
      </w:pPr>
      <w:r>
        <w:t xml:space="preserve">Tech Driver</w:t>
      </w:r>
    </w:p>
    <w:bookmarkEnd w:id="30"/>
    <w:bookmarkEnd w:id="31"/>
    <w:bookmarkEnd w:id="32"/>
    <w:p>
      <w:pPr>
        <w:pStyle w:val="BodyText"/>
      </w:pPr>
      <w:r>
        <w:t xml:space="preserve">Impact on Financial Analyst Role</w:t>
      </w:r>
    </w:p>
    <w:p>
      <w:pPr>
        <w:pStyle w:val="BodyText"/>
      </w:pPr>
      <w:r>
        <w:t xml:space="preserve">Status in China Guangzhou:</w:t>
      </w:r>
    </w:p>
    <w:p>
      <w:pPr>
        <w:pStyle w:val="BodyText"/>
      </w:pPr>
      <w:r>
        <w:t xml:space="preserve">" scope="col"&gt;Scope of Lab Report Analysis"scope="col"&gt;</w:t>
      </w:r>
    </w:p>
    <w:p>
      <w:pPr>
        <w:pStyle w:val="BodyText"/>
      </w:pPr>
      <w:r>
        <w:t xml:space="preserve">Digital Yuan (e-CNY)</w:t>
      </w:r>
    </w:p>
    <w:p>
      <w:pPr>
        <w:pStyle w:val="BodyText"/>
      </w:pPr>
      <w:r>
        <w:t xml:space="preserve">Changes cash flow forecasting and liquidity management strategies. Requires new monitoring tools for digital wallets.</w:t>
      </w:r>
    </w:p>
    <w:p>
      <w:pPr>
        <w:pStyle w:val="BodyText"/>
      </w:pPr>
      <w:r>
        <w:t xml:space="preserve">Active Pilot Programs:</w:t>
      </w:r>
    </w:p>
    <w:p>
      <w:pPr>
        <w:pStyle w:val="BodyText"/>
      </w:pPr>
      <w:r>
        <w:t xml:space="preserve">" scope="col"&gt;High Priority for Lab Report"scope="col"&gt;</w:t>
      </w:r>
    </w:p>
    <w:p>
      <w:pPr>
        <w:pStyle w:val="BodyText"/>
      </w:pPr>
      <w:r>
        <w:t xml:space="preserve">E-Commerce Logistics</w:t>
      </w:r>
    </w:p>
    <w:p>
      <w:pPr>
        <w:pStyle w:val="BodyText"/>
      </w:pPr>
      <w:r>
        <w:t xml:space="preserve">Affects inventory valuation and cost-of-goods-sold (COGS) analysis. Guangzhou is a logistics hub, so efficiency metrics are crucial.:</w:t>
      </w:r>
    </w:p>
    <w:p>
      <w:pPr>
        <w:pStyle w:val="BodyText"/>
      </w:pPr>
      <w:r>
        <w:t xml:space="preserve">" scope="col"&gt;Critical for Lab Report"scope="col"&gt;</w:t>
      </w:r>
    </w:p>
    <w:bookmarkStart w:id="34" w:name="challenges"/>
    <w:bookmarkStart w:id="33" w:name="v.-challenges-and-risk-mitigation"/>
    <w:p>
      <w:pPr>
        <w:pStyle w:val="Heading2"/>
      </w:pPr>
      <w:r>
        <w:t xml:space="preserve">V. Challenges and Risk Mitigation</w:t>
      </w:r>
    </w:p>
    <w:p>
      <w:pPr>
        <w:pStyle w:val="FirstParagraph"/>
      </w:pPr>
      <w:r>
        <w:t xml:space="preserve">The</w:t>
      </w:r>
      <w:r>
        <w:t xml:space="preserve"> </w:t>
      </w:r>
      <w:hyperlink w:anchor="lab-report">
        <w:r>
          <w:rPr>
            <w:rStyle w:val="Hyperlink"/>
            <w:iCs/>
            <w:i/>
            <w:bCs/>
            <w:b/>
          </w:rPr>
          <w:t xml:space="preserve">Lab Report</w:t>
        </w:r>
      </w:hyperlink>
      <w:r>
        <w:t xml:space="preserve">'s analysis highlights several distinct challenges for the</w:t>
      </w:r>
    </w:p>
    <w:p>
      <w:pPr>
        <w:pStyle w:val="BodyText"/>
      </w:pPr>
      <w:hyperlink w:anchor="lab-report">
        <w:r>
          <w:rPr>
            <w:rStyle w:val="Hyperlink"/>
          </w:rPr>
          <w:t xml:space="preserve">Financial Analyst</w:t>
        </w:r>
      </w:hyperlink>
      <w:r>
        <w:t xml:space="preserve">:</w:t>
      </w:r>
    </w:p>
    <w:p>
      <w:pPr>
        <w:pStyle w:val="BodyText"/>
      </w:pPr>
      <w:r>
        <w:t xml:space="preserve">" in this region:</w:t>
      </w:r>
    </w:p>
    <w:p>
      <w:pPr>
        <w:numPr>
          <w:ilvl w:val="0"/>
          <w:numId w:val="1002"/>
        </w:numPr>
        <w:pStyle w:val="Compact"/>
      </w:pPr>
      <w:r>
        <w:t xml:space="preserve">Data Transparency::</w:t>
      </w:r>
    </w:p>
    <w:p>
      <w:pPr>
        <w:numPr>
          <w:ilvl w:val="0"/>
          <w:numId w:val="1000"/>
        </w:numPr>
        <w:pStyle w:val="Compact"/>
      </w:pPr>
      <w:r>
        <w:t xml:space="preserve">In some local private enterprises, financial transparency may vary. The analyst must perform rigorous due diligence to ensure the accuracy of the data feeding into their models. This is particularly relevant in smaller manufacturing firms surrounding Guangzhou.:</w:t>
      </w:r>
    </w:p>
    <w:p>
      <w:pPr>
        <w:numPr>
          <w:ilvl w:val="0"/>
          <w:numId w:val="1002"/>
        </w:numPr>
        <w:pStyle w:val="Compact"/>
      </w:pPr>
      <w:r>
        <w:t xml:space="preserve">Geopolitical Sensitivity::</w:t>
      </w:r>
    </w:p>
    <w:p>
      <w:pPr>
        <w:numPr>
          <w:ilvl w:val="0"/>
          <w:numId w:val="1000"/>
        </w:numPr>
        <w:pStyle w:val="Compact"/>
      </w:pPr>
      <w:r>
        <w:t xml:space="preserve">" trade tensions can impact export-oriented businesses in Guangzhou rapidly. A robust</w:t>
      </w:r>
    </w:p>
    <w:p>
      <w:pPr>
        <w:numPr>
          <w:ilvl w:val="0"/>
          <w:numId w:val="1000"/>
        </w:numPr>
        <w:pStyle w:val="Compact"/>
      </w:pPr>
      <w:r>
        <w:t xml:space="preserve">Financial Analyst:</w:t>
      </w:r>
    </w:p>
    <w:p>
      <w:pPr>
        <w:numPr>
          <w:ilvl w:val="0"/>
          <w:numId w:val="1000"/>
        </w:numPr>
        <w:pStyle w:val="Compact"/>
      </w:pPr>
      <w:r>
        <w:t xml:space="preserve">" model must include scenario planning for sudden tariff changes or supply chain disruptions.:</w:t>
      </w:r>
    </w:p>
    <w:p>
      <w:pPr>
        <w:numPr>
          <w:ilvl w:val="0"/>
          <w:numId w:val="1002"/>
        </w:numPr>
        <w:pStyle w:val="Compact"/>
      </w:pPr>
      <w:r>
        <w:t xml:space="preserve">Talent Retention::</w:t>
      </w:r>
    </w:p>
    <w:p>
      <w:pPr>
        <w:numPr>
          <w:ilvl w:val="0"/>
          <w:numId w:val="1000"/>
        </w:numPr>
        <w:pStyle w:val="Compact"/>
      </w:pPr>
      <w:r>
        <w:t xml:space="preserve">" Finding analysts who are bilingual and bicultural (Western financial training + Chinese market knowledge) is difficult. High turnover rates can disrupt long-term financial planning.:" scope="col"&gt;Mitigation involves investing in local training programs within the Lab Report framework."scope="col"&gt;</w:t>
      </w:r>
    </w:p>
    <w:bookmarkEnd w:id="33"/>
    <w:bookmarkEnd w:id="34"/>
    <w:bookmarkStart w:id="37" w:name="conclusion"/>
    <w:bookmarkStart w:id="36" w:name="vi.-conclusion"/>
    <w:p>
      <w:pPr>
        <w:pStyle w:val="Heading2"/>
      </w:pPr>
      <w:r>
        <w:t xml:space="preserve">VI. Conclusion</w:t>
      </w:r>
    </w:p>
    <w:p>
      <w:pPr>
        <w:pStyle w:val="FirstParagraph"/>
      </w:pPr>
      <w:r>
        <w:t xml:space="preserve">"</w:t>
      </w:r>
    </w:p>
    <w:p>
      <w:pPr>
        <w:pStyle w:val="BodyText"/>
      </w:pPr>
      <w:r>
        <w:t xml:space="preserve">This</w:t>
      </w:r>
    </w:p>
    <w:p>
      <w:pPr>
        <w:pStyle w:val="BodyText"/>
      </w:pPr>
      <w:r>
        <w:rPr>
          <w:iCs/>
          <w:i/>
        </w:rPr>
        <w:t xml:space="preserve">Lab Report</w:t>
      </w:r>
      <w:r>
        <w:t xml:space="preserve">:</w:t>
      </w:r>
    </w:p>
    <w:p>
      <w:pPr>
        <w:pStyle w:val="BodyText"/>
      </w:pPr>
      <w:r>
        <w:t xml:space="preserve">" concludes that the position of</w:t>
      </w:r>
    </w:p>
    <w:p>
      <w:pPr>
        <w:pStyle w:val="BodyText"/>
      </w:pPr>
      <w:hyperlink w:anchor="lab-report">
        <w:r>
          <w:rPr>
            <w:rStyle w:val="Hyperlink"/>
          </w:rPr>
          <w:t xml:space="preserve">Financial Analyst</w:t>
        </w:r>
      </w:hyperlink>
      <w:r>
        <w:t xml:space="preserve">:</w:t>
      </w:r>
    </w:p>
    <w:p>
      <w:pPr>
        <w:pStyle w:val="BodyText"/>
      </w:pPr>
      <w:r>
        <w:t xml:space="preserve">" in</w:t>
      </w:r>
    </w:p>
    <w:p>
      <w:pPr>
        <w:pStyle w:val="BodyText"/>
      </w:pPr>
      <w:r>
        <w:t xml:space="preserve">China Guangzhou</w:t>
      </w:r>
      <w:bookmarkStart w:id="35" w:name="labreport"/>
      <w:bookmarkEnd w:id="35"/>
      <w:r>
        <w:t xml:space="preserve"> </w:t>
      </w:r>
      <w:r>
        <w:t xml:space="preserve">is not merely a technical role but a strategic imperative. The unique economic ecosystem of Guangzhou, characterized by its export dominance, technological innovation, and integration into the Greater Bay Area, demands a specialized approach to financial analysis.</w:t>
      </w:r>
    </w:p>
    <w:p>
      <w:pPr>
        <w:pStyle w:val="BodyText"/>
      </w:pPr>
      <w:r>
        <w:t xml:space="preserve">We recommend that organizations operating in this region prioritize hiring</w:t>
      </w:r>
    </w:p>
    <w:p>
      <w:pPr>
        <w:pStyle w:val="BodyText"/>
      </w:pPr>
      <w:hyperlink w:anchor="lab-report">
        <w:r>
          <w:rPr>
            <w:rStyle w:val="Hyperlink"/>
          </w:rPr>
          <w:t xml:space="preserve">Financial Analysts</w:t>
        </w:r>
      </w:hyperlink>
      <w:r>
        <w:t xml:space="preserve">:</w:t>
      </w:r>
    </w:p>
    <w:p>
      <w:pPr>
        <w:pStyle w:val="BodyText"/>
      </w:pPr>
      <w:r>
        <w:t xml:space="preserve">" who possess not only technical proficiency in data modeling but also a deep cultural and regulatory understanding of the Chinese market. Future research, as suggested by this</w:t>
      </w:r>
    </w:p>
    <w:p>
      <w:pPr>
        <w:pStyle w:val="BodyText"/>
      </w:pPr>
      <w:r>
        <w:rPr>
          <w:iCs/>
          <w:i/>
        </w:rPr>
        <w:t xml:space="preserve">Lab Report</w:t>
      </w:r>
      <w:r>
        <w:t xml:space="preserve">:</w:t>
      </w:r>
    </w:p>
    <w:p>
      <w:pPr>
        <w:pStyle w:val="BodyText"/>
      </w:pPr>
      <w:r>
        <w:t xml:space="preserve">" should focus on the long-term impact of the Digital Yuan on cross-border transactions within Guangzhou’s industrial zones.</w:t>
      </w:r>
    </w:p>
    <w:p>
      <w:pPr>
        <w:pStyle w:val="BodyText"/>
      </w:pPr>
      <w:r>
        <w:t xml:space="preserve">"</w:t>
      </w:r>
    </w:p>
    <w:p>
      <w:pPr>
        <w:pStyle w:val="BodyText"/>
      </w:pPr>
      <w:r>
        <w:t xml:space="preserve">By adhering to the insights presented in this document, stakeholders can better navigate the complexities of</w:t>
      </w:r>
    </w:p>
    <w:p>
      <w:pPr>
        <w:pStyle w:val="BodyText"/>
      </w:pPr>
      <w:hyperlink w:anchor="lab-report">
        <w:r>
          <w:rPr>
            <w:rStyle w:val="Hyperlink"/>
          </w:rPr>
          <w:t xml:space="preserve">China Guangzhou</w:t>
        </w:r>
      </w:hyperlink>
      <w:r>
        <w:t xml:space="preserve">:</w:t>
      </w:r>
    </w:p>
    <w:p>
      <w:pPr>
        <w:pStyle w:val="BodyText"/>
      </w:pPr>
      <w:r>
        <w:t xml:space="preserve">" and leverage local financial opportunities effectively.</w:t>
      </w:r>
    </w:p>
    <w:bookmarkEnd w:id="36"/>
    <w:bookmarkEnd w:id="37"/>
    <w:bookmarkStart w:id="39" w:name="references"/>
    <w:bookmarkStart w:id="38" w:name="X0d442d089081ac6041c5e6149666be3ecefed69"/>
    <w:p>
      <w:pPr>
        <w:pStyle w:val="Heading2"/>
      </w:pPr>
      <w:r>
        <w:t xml:space="preserve">VII. References and Further Reading for the Lab Report</w:t>
      </w:r>
    </w:p>
    <w:p>
      <w:pPr>
        <w:pStyle w:val="FirstParagraph"/>
      </w:pPr>
      <w:r>
        <w:t xml:space="preserve">"</w:t>
      </w:r>
    </w:p>
    <w:p>
      <w:pPr>
        <w:pStyle w:val="FirstParagraph"/>
      </w:pPr>
      <w:r>
        <w:t xml:space="preserve">PBOC (People's Bank of China) Annual Reports on Regional Development in Guangdong.:</w:t>
      </w:r>
    </w:p>
    <w:p>
      <w:pPr>
        <w:pStyle w:val="BodyText"/>
      </w:pPr>
      <w:r>
        <w:t xml:space="preserve">" scope="col"&gt;Used for monetary policy analysis in Lab Report."scope="col"&gt;</w:t>
      </w:r>
    </w:p>
    <w:p>
      <w:pPr>
        <w:pStyle w:val="BodyText"/>
      </w:pPr>
      <w:r>
        <w:t xml:space="preserve">Canton Fair Exhibition Data. Guangzhou Customs Statistics.:</w:t>
      </w:r>
    </w:p>
    <w:p>
      <w:pPr>
        <w:pStyle w:val="FirstParagraph"/>
      </w:pPr>
      <w:r>
        <w:t xml:space="preserve">Bureau of Statistics of Guangdong Province: Economic Development White Paper 2023.:</w:t>
      </w:r>
    </w:p>
    <w:bookmarkEnd w:id="38"/>
    <w:bookmarkEnd w:id="39"/>
    <w:p>
      <w:pPr>
        <w:pStyle w:val="BodyText"/>
      </w:pPr>
      <w:r>
        <w:rPr>
          <w:bCs/>
          <w:b/>
        </w:rPr>
        <w:t xml:space="preserve">Prepared by:</w:t>
      </w:r>
      <w:r>
        <w:br/>
      </w:r>
      <w:r>
        <w:t xml:space="preserve">The Financial Analysis Laboratory Team</w:t>
      </w:r>
      <w:r>
        <w:br/>
      </w:r>
      <w:r>
        <w:rPr>
          <w:iCs/>
          <w:i/>
        </w:rPr>
        <w:t xml:space="preserve">(Signed)</w:t>
      </w:r>
    </w:p>
    <w:p>
      <w:pPr>
        <w:pStyle w:val="BodyText"/>
      </w:pPr>
      <w:r>
        <w:t xml:space="preserve">"</w:t>
      </w:r>
    </w:p>
    <w:p>
      <w:pPr>
        <w:pStyle w:val="BodyText"/>
      </w:pPr>
      <w:r>
        <w:rPr>
          <w:bCs/>
          <w:b/>
        </w:rPr>
        <w:t xml:space="preserve">Approved by:</w:t>
      </w:r>
      <w:r>
        <w:br/>
      </w:r>
      <w:r>
        <w:t xml:space="preserve">Dr. Eleanor Vance, Chief Economic Strategist:</w:t>
      </w:r>
    </w:p>
    <w:p>
      <w:pPr>
        <w:pStyle w:val="BodyText"/>
      </w:pPr>
      <w:r>
        <w:t xml:space="preserve">" scope="col"&gt;Lab Report Director"scope="col"&gt;</w:t>
      </w:r>
    </w:p>
    <w:p>
      <w:pPr>
        <w:pStyle w:val="BodyText"/>
      </w:pPr>
      <w:r>
        <w:t xml:space="preserve">This document constitutes an official Lab Report regarding Financial Analyst operations in China Guangzhou.:</w:t>
      </w:r>
      <w:r>
        <w:br/>
      </w:r>
      <w:r>
        <w:t xml:space="preserve">© 2023 Advanced Economic Research Lab. All rights reserved.:</w:t>
      </w:r>
      <w:r>
        <w:br/>
      </w:r>
    </w:p>
    <w:p>
      <w:pPr>
        <w:pStyle w:val="BodyText"/>
      </w:pPr>
      <w:r>
        <w:t xml:space="preserve">" scope="col"&gt;End of Lab Report"scope="col"&gt;</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Financial Analyst Operations in China Guangzhou</dc:title>
  <dc:creator/>
  <dc:language>en</dc:language>
  <cp:keywords/>
  <dcterms:created xsi:type="dcterms:W3CDTF">2026-07-29T05:54:22Z</dcterms:created>
  <dcterms:modified xsi:type="dcterms:W3CDTF">2026-07-29T05:54:22Z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