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lab-report-analysis"/>
    <w:p>
      <w:pPr>
        <w:pStyle w:val="Heading1"/>
      </w:pPr>
      <w:r>
        <w:t xml:space="preserve">LAB REPORT ANALYSIS</w:t>
      </w:r>
    </w:p>
    <w:bookmarkEnd w:id="20"/>
    <w:p>
      <w:pPr>
        <w:pStyle w:val="FirstParagraph"/>
      </w:pPr>
      <w:r>
        <w:rPr>
          <w:bCs/>
          <w:b/>
        </w:rPr>
        <w:t xml:space="preserve">Title:</w:t>
      </w:r>
      <w:r>
        <w:t xml:space="preserve">The Strategic Role, Challenges, and Operational Framework of the Financial Analyst in Indonesia Jakarta.</w:t>
      </w:r>
    </w:p>
    <w:p>
      <w:r>
        <w:pict>
          <v:rect style="width:0;height:1.5pt" o:hralign="center" o:hrstd="t" o:hr="t"/>
        </w:pict>
      </w:r>
    </w:p>
    <w:p>
      <w:pPr>
        <w:pStyle w:val="FirstParagraph"/>
      </w:pPr>
      <w:r>
        <w:rPr>
          <w:bCs/>
          <w:b/>
        </w:rPr>
        <w:t xml:space="preserve">Date:</w:t>
      </w:r>
      <w:r>
        <w:t xml:space="preserve"> </w:t>
      </w:r>
      <w:r>
        <w:t xml:space="preserve">25 May 2024</w:t>
      </w:r>
      <w:r>
        <w:br/>
      </w:r>
      <w:r>
        <w:rPr>
          <w:bCs/>
          <w:b/>
        </w:rPr>
        <w:t xml:space="preserve">To: Regional Management Board</w:t>
      </w:r>
      <w:r>
        <w:rPr>
          <w:bCs/>
          <w:b/>
        </w:rPr>
        <w:t xml:space="preserve">Indonesia Jakarta Division</w:t>
      </w:r>
      <w:r>
        <w:br/>
      </w:r>
      <w:r>
        <w:rPr>
          <w:bCs/>
          <w:b/>
        </w:rPr>
        <w:t xml:space="preserve">From:</w:t>
      </w:r>
      <w:r>
        <w:t xml:space="preserve"> </w:t>
      </w:r>
      <w:r>
        <w:t xml:space="preserve">Senior Research Unit</w:t>
      </w:r>
      <w:r>
        <w:br/>
      </w:r>
      <w:r>
        <w:rPr>
          <w:iCs/>
          <w:i/>
        </w:rPr>
        <w:t xml:space="preserve">Note: This Lab Report analyzes the practical application of financial analysis within the specific economic, regulatory, and cultural context of Indonesia Jakarta.</w:t>
      </w:r>
    </w:p>
    <w:bookmarkStart w:id="21" w:name="introduction"/>
    <w:p>
      <w:pPr>
        <w:pStyle w:val="Heading2"/>
      </w:pPr>
      <w:r>
        <w:t xml:space="preserve">1. Introduction</w:t>
      </w:r>
    </w:p>
    <w:p>
      <w:pPr>
        <w:pStyle w:val="FirstParagraph"/>
      </w:pPr>
      <w:r>
        <w:t xml:space="preserve">The modern global economy places immense value on data-driven decision-making. Within this framework, the role of a</w:t>
      </w:r>
      <w:r>
        <w:t xml:space="preserve"> </w:t>
      </w:r>
      <w:r>
        <w:rPr>
          <w:bCs/>
          <w:b/>
        </w:rPr>
        <w:t xml:space="preserve">Financial Analyst</w:t>
      </w:r>
      <w:r>
        <w:t xml:space="preserve"> </w:t>
      </w:r>
      <w:r>
        <w:t xml:space="preserve">has evolved from mere number-crunching to strategic business partnership. This Lab Report specifically targets the dynamic and high-velocity market of</w:t>
      </w:r>
      <w:r>
        <w:t xml:space="preserve"> </w:t>
      </w:r>
      <w:r>
        <w:rPr>
          <w:bCs/>
          <w:b/>
        </w:rPr>
        <w:t xml:space="preserve">Indonesia Jakarta</w:t>
      </w:r>
      <w:r>
        <w:t xml:space="preserve">, which serves as the economic hub of Southeast Asia's largest economy.</w:t>
      </w:r>
    </w:p>
    <w:p>
      <w:pPr>
        <w:pStyle w:val="BodyText"/>
      </w:pPr>
      <w:r>
        <w:t xml:space="preserve">Jakarta, often referred to as "The Big Durian," is characterized by rapid urbanization, a growing middle class, and an increasingly digitalized financial sector. This report investigates how a Financial Analyst navigates these unique variables. The primary objective is to define the standard operating procedures (SOPs) required for maintaining fiscal integrity while driving growth in this specific geographic and economic zone.</w:t>
      </w:r>
    </w:p>
    <w:p>
      <w:pPr>
        <w:pStyle w:val="BodyText"/>
      </w:pPr>
      <w:r>
        <w:t xml:space="preserve">As multinational corporations expand into Indonesia Jakarta, localizing the analytical approach becomes critical. It is not enough to apply generic Western financial models; one must account for local tax codes, currency fluctuations involving the Rupiah (IDR), and the distinct corporate governance expectations prevalent in Indonesian business culture.</w:t>
      </w:r>
    </w:p>
    <w:bookmarkEnd w:id="21"/>
    <w:bookmarkStart w:id="22" w:name="objectives-of-this-analysis"/>
    <w:p>
      <w:pPr>
        <w:pStyle w:val="Heading2"/>
      </w:pPr>
      <w:r>
        <w:t xml:space="preserve">2. Objectives of this Analysis</w:t>
      </w:r>
    </w:p>
    <w:p>
      <w:pPr>
        <w:numPr>
          <w:ilvl w:val="0"/>
          <w:numId w:val="1001"/>
        </w:numPr>
        <w:pStyle w:val="Compact"/>
      </w:pPr>
      <w:r>
        <w:t xml:space="preserve">To identify the core competencies required of a</w:t>
      </w:r>
      <w:r>
        <w:t xml:space="preserve"> </w:t>
      </w:r>
      <w:r>
        <w:rPr>
          <w:bCs/>
          <w:b/>
        </w:rPr>
        <w:t xml:space="preserve">Financial Analyst</w:t>
      </w:r>
      <w:r>
        <w:t xml:space="preserve"> </w:t>
      </w:r>
      <w:r>
        <w:t xml:space="preserve">operating in Indonesia Jakarta.</w:t>
      </w:r>
    </w:p>
    <w:p>
      <w:pPr>
        <w:numPr>
          <w:ilvl w:val="0"/>
          <w:numId w:val="1001"/>
        </w:numPr>
        <w:pStyle w:val="Compact"/>
      </w:pPr>
      <w:r>
        <w:t xml:space="preserve">To evaluate the impact of local regulatory frameworks on financial reporting and forecasting.</w:t>
      </w:r>
    </w:p>
    <w:p>
      <w:pPr>
        <w:numPr>
          <w:ilvl w:val="0"/>
          <w:numId w:val="1001"/>
        </w:numPr>
        <w:pStyle w:val="Compact"/>
      </w:pPr>
      <w:r>
        <w:t xml:space="preserve">To analyze market trends unique to Indonesia Jakarta that influence investment decisions and capital allocation strategies.</w:t>
      </w:r>
    </w:p>
    <w:p>
      <w:pPr>
        <w:pStyle w:val="FirstParagraph"/>
      </w:pPr>
      <w:r>
        <w:t xml:space="preserve">We seek to provide actionable insights into how an analyst can leverage data not just for compliance, but for competitive advantage in a developing market characterized by both opportunity and volatility.</w:t>
      </w:r>
    </w:p>
    <w:bookmarkEnd w:id="22"/>
    <w:bookmarkStart w:id="23" w:name="scope-and-methodology"/>
    <w:p>
      <w:pPr>
        <w:pStyle w:val="Heading2"/>
      </w:pPr>
      <w:r>
        <w:t xml:space="preserve">3. Scope and Methodology</w:t>
      </w:r>
    </w:p>
    <w:p>
      <w:pPr>
        <w:pStyle w:val="FirstParagraph"/>
      </w:pPr>
      <w:r>
        <w:t xml:space="preserve">The methodology employed in this Lab Report involves a comprehensive review of current economic indicators specific to Jakarta, combined with case studies of successful financial strategies implemented by firms operating within the Special Capital Region of Jakarta (DKI).</w:t>
      </w:r>
    </w:p>
    <w:p>
      <w:pPr>
        <w:pStyle w:val="BodyText"/>
      </w:pPr>
      <w:r>
        <w:t xml:space="preserve">Data was synthesized from regional reports provided by the Indonesia Stock Exchange (IDX), Bank Indonesia's monthly macroeconomic updates, and internal benchmark data from previous fiscal years. The scope is strictly limited to corporate finance environments—both local state-owned enterprises (SOEs) and private multinational entities headquartered or having significant operations in</w:t>
      </w:r>
      <w:r>
        <w:t xml:space="preserve"> </w:t>
      </w:r>
      <w:r>
        <w:rPr>
          <w:bCs/>
          <w:b/>
        </w:rPr>
        <w:t xml:space="preserve">Indonesia Jakarta</w:t>
      </w:r>
      <w:r>
        <w:t xml:space="preserve">.</w:t>
      </w:r>
    </w:p>
    <w:bookmarkEnd w:id="23"/>
    <w:bookmarkStart w:id="24" w:name="findings-the-indonesian-context"/>
    <w:p>
      <w:pPr>
        <w:pStyle w:val="Heading2"/>
      </w:pPr>
      <w:r>
        <w:t xml:space="preserve">4. Findings: The Indonesian Context</w:t>
      </w:r>
    </w:p>
    <w:p>
      <w:pPr>
        <w:pStyle w:val="FirstParagraph"/>
      </w:pPr>
      <w:r>
        <w:t xml:space="preserve">The findings reveal three distinct pillars that define the work of a</w:t>
      </w:r>
      <w:r>
        <w:t xml:space="preserve"> </w:t>
      </w:r>
      <w:r>
        <w:rPr>
          <w:bCs/>
          <w:b/>
        </w:rPr>
        <w:t xml:space="preserve">Financial Analyst</w:t>
      </w:r>
      <w:r>
        <w:t xml:space="preserve"> </w:t>
      </w:r>
      <w:r>
        <w:t xml:space="preserve">in this region:</w:t>
      </w:r>
    </w:p>
    <w:p>
      <w:pPr>
        <w:numPr>
          <w:ilvl w:val="0"/>
          <w:numId w:val="1002"/>
        </w:numPr>
        <w:pStyle w:val="Compact"/>
      </w:pPr>
      <w:r>
        <w:rPr>
          <w:bCs/>
          <w:b/>
        </w:rPr>
        <w:t xml:space="preserve">Currency Volatility and Hedging:</w:t>
      </w:r>
    </w:p>
    <w:p>
      <w:pPr>
        <w:numPr>
          <w:ilvl w:val="0"/>
          <w:numId w:val="1003"/>
        </w:numPr>
        <w:pStyle w:val="Compact"/>
      </w:pPr>
      <w:r>
        <w:t xml:space="preserve">The Indonesian Rupiah (IDR) is subject to significant fluctuation against major currencies like the USD, particularly during periods of global economic uncertainty. A Financial Analyst in Jakarta must possess advanced skills in currency risk management. Forecasting models cannot simply rely on historical averages; they must incorporate real-time geopolitical data affecting emerging markets.</w:t>
      </w:r>
    </w:p>
    <w:p>
      <w:pPr>
        <w:numPr>
          <w:ilvl w:val="0"/>
          <w:numId w:val="1004"/>
        </w:numPr>
        <w:pStyle w:val="Compact"/>
      </w:pPr>
      <w:r>
        <w:rPr>
          <w:bCs/>
          <w:b/>
        </w:rPr>
        <w:t xml:space="preserve">Regulatory Compliance (OJK and Taxation):</w:t>
      </w:r>
    </w:p>
    <w:p>
      <w:pPr>
        <w:numPr>
          <w:ilvl w:val="0"/>
          <w:numId w:val="1005"/>
        </w:numPr>
        <w:pStyle w:val="Compact"/>
      </w:pPr>
      <w:r>
        <w:t xml:space="preserve">The Otoritas Jasa Keuangan (OJK) acts as the financial services authority in Indonesia. Analysts must ensure that all financial reporting adheres strictly to IFRS standards as interpreted by Indonesian regulations.</w:t>
      </w:r>
    </w:p>
    <w:p>
      <w:pPr>
        <w:numPr>
          <w:ilvl w:val="0"/>
          <w:numId w:val="1006"/>
        </w:numPr>
        <w:pStyle w:val="Compact"/>
      </w:pPr>
      <w:r>
        <w:rPr>
          <w:bCs/>
          <w:b/>
        </w:rPr>
        <w:t xml:space="preserve">Digital Transformation:</w:t>
      </w:r>
    </w:p>
    <w:p>
      <w:pPr>
        <w:numPr>
          <w:ilvl w:val="0"/>
          <w:numId w:val="1007"/>
        </w:numPr>
        <w:pStyle w:val="Compact"/>
      </w:pPr>
      <w:r>
        <w:t xml:space="preserve">Jakarta is currently experiencing a fintech boom. The role of the Financial Analyst now requires proficiency in data analytics tools (Python, SQL) to interpret consumer behavior data from digital banking and e-commerce platforms. Traditional spreadsheet modeling is being augmented by real-time dashboards.</w:t>
      </w:r>
    </w:p>
    <w:bookmarkEnd w:id="24"/>
    <w:bookmarkStart w:id="25" w:name="challenges-identified"/>
    <w:p>
      <w:pPr>
        <w:pStyle w:val="Heading2"/>
      </w:pPr>
      <w:r>
        <w:t xml:space="preserve">5. Challenges Identified</w:t>
      </w:r>
    </w:p>
    <w:p>
      <w:pPr>
        <w:pStyle w:val="FirstParagraph"/>
      </w:pPr>
      <w:r>
        <w:t xml:space="preserve">The analysis highlights several persistent challenges:</w:t>
      </w:r>
    </w:p>
    <w:p>
      <w:pPr>
        <w:numPr>
          <w:ilvl w:val="0"/>
          <w:numId w:val="1008"/>
        </w:numPr>
        <w:pStyle w:val="Compact"/>
      </w:pPr>
      <w:r>
        <w:t xml:space="preserve">Information asymmetry remains high in certain sectors, making accurate forecasting difficult.</w:t>
      </w:r>
    </w:p>
    <w:p>
      <w:pPr>
        <w:numPr>
          <w:ilvl w:val="0"/>
          <w:numId w:val="1009"/>
        </w:numPr>
        <w:pStyle w:val="Compact"/>
      </w:pPr>
      <w:r>
        <w:t xml:space="preserve">Data fragmentation across various business units within conglomerates common in</w:t>
      </w:r>
      <w:r>
        <w:t xml:space="preserve"> </w:t>
      </w:r>
      <w:r>
        <w:rPr>
          <w:bCs/>
          <w:b/>
        </w:rPr>
        <w:t xml:space="preserve">Indonesia Jakarta</w:t>
      </w:r>
      <w:r>
        <w:t xml:space="preserve">.</w:t>
      </w:r>
    </w:p>
    <w:p>
      <w:pPr>
        <w:pStyle w:val="FirstParagraph"/>
      </w:pPr>
      <w:r>
        <w:t xml:space="preserve">In addition to technical challenges, the cultural aspect of reporting cannot be understated. In Indonesian corporate culture, hierarchy plays a significant role. A Financial Analyst must present data diplomatically, ensuring that financial constraints are communicated respectfully to senior leadership while maintaining the integrity of the numbers.</w:t>
      </w:r>
    </w:p>
    <w:bookmarkEnd w:id="25"/>
    <w:bookmarkStart w:id="26" w:name="X843b64dd6bac4d59294405481fd177e325050f6"/>
    <w:p>
      <w:pPr>
        <w:pStyle w:val="Heading2"/>
      </w:pPr>
      <w:r>
        <w:t xml:space="preserve">6. Recommendations and Strategic Adjustments</w:t>
      </w:r>
    </w:p>
    <w:p>
      <w:pPr>
        <w:pStyle w:val="FirstParagraph"/>
      </w:pPr>
      <w:r>
        <w:t xml:space="preserve">To optimize performance within this specific market environment, we recommend the following adjustments:</w:t>
      </w:r>
    </w:p>
    <w:p>
      <w:pPr>
        <w:numPr>
          <w:ilvl w:val="0"/>
          <w:numId w:val="1010"/>
        </w:numPr>
        <w:pStyle w:val="Compact"/>
      </w:pPr>
      <w:r>
        <w:rPr>
          <w:bCs/>
          <w:b/>
        </w:rPr>
        <w:t xml:space="preserve">Enhanced Localized Modeling:</w:t>
      </w:r>
    </w:p>
    <w:p>
      <w:pPr>
        <w:pStyle w:val="FirstParagraph"/>
      </w:pPr>
      <w:r>
        <w:t xml:space="preserve">We advise creating financial models that include specific variables for local inflation rates in Jakarta and regional supply chain disruptions.</w:t>
      </w:r>
    </w:p>
    <w:p>
      <w:pPr>
        <w:pStyle w:val="BodyText"/>
      </w:pPr>
      <w:r>
        <w:t xml:space="preserve">Furthermore, continuous professional development regarding OJK regulations is mandatory.</w:t>
      </w:r>
    </w:p>
    <w:p>
      <w:pPr>
        <w:numPr>
          <w:ilvl w:val="0"/>
          <w:numId w:val="1011"/>
        </w:numPr>
        <w:pStyle w:val="Compact"/>
      </w:pPr>
      <w:r>
        <w:t xml:space="preserve">Adoption of ESG (Environmental, Social, and Governance) Metrics:</w:t>
      </w:r>
    </w:p>
    <w:p>
      <w:pPr>
        <w:pStyle w:val="FirstParagraph"/>
      </w:pPr>
      <w:r>
        <w:t xml:space="preserve">The global shift towards sustainability is impacting investment flows into Indonesia Jakarta. Financial Analysts must now integrate non-financial data—such as carbon footprint metrics and community impact assessments—into their valuation models to attract international capital.</w:t>
      </w:r>
    </w:p>
    <w:p>
      <w:pPr>
        <w:pStyle w:val="BodyText"/>
      </w:pPr>
      <w:r>
        <w:t xml:space="preserve">This requires collaboration with sustainability officers within the organization.</w:t>
      </w:r>
    </w:p>
    <w:p>
      <w:pPr>
        <w:numPr>
          <w:ilvl w:val="0"/>
          <w:numId w:val="1012"/>
        </w:numPr>
        <w:pStyle w:val="Compact"/>
      </w:pPr>
      <w:r>
        <w:t xml:space="preserve">Strengthening Interdepartmental Communication:</w:t>
      </w:r>
    </w:p>
    <w:p>
      <w:pPr>
        <w:pStyle w:val="FirstParagraph"/>
      </w:pPr>
      <w:r>
        <w:t xml:space="preserve">To overcome information asymmetry, we recommend establishing weekly cross-departmental meetings involving finance, operations, and IT. This ensures that the</w:t>
      </w:r>
      <w:r>
        <w:t xml:space="preserve"> </w:t>
      </w:r>
      <w:r>
        <w:rPr>
          <w:bCs/>
          <w:b/>
        </w:rPr>
        <w:t xml:space="preserve">Financial Analyst</w:t>
      </w:r>
      <w:r>
        <w:t xml:space="preserve"> </w:t>
      </w:r>
      <w:r>
        <w:t xml:space="preserve">has real-time access to operational data from the ground level in Jakarta.</w:t>
      </w:r>
    </w:p>
    <w:bookmarkEnd w:id="26"/>
    <w:bookmarkStart w:id="27" w:name="conclusion"/>
    <w:p>
      <w:pPr>
        <w:pStyle w:val="Heading2"/>
      </w:pPr>
      <w:r>
        <w:t xml:space="preserve">7. Conclusion</w:t>
      </w:r>
    </w:p>
    <w:p>
      <w:pPr>
        <w:pStyle w:val="FirstParagraph"/>
      </w:pPr>
      <w:r>
        <w:t xml:space="preserve">The role of a Financial Analyst is pivotal in steering organizations through the complexities of emerging markets. In</w:t>
      </w:r>
      <w:r>
        <w:t xml:space="preserve"> </w:t>
      </w:r>
      <w:r>
        <w:rPr>
          <w:bCs/>
          <w:b/>
        </w:rPr>
        <w:t xml:space="preserve">Indonesia Jakarta</w:t>
      </w:r>
      <w:r>
        <w:t xml:space="preserve">, this role demands a blend of traditional financial acumen and localized adaptability. The volatility of currency, the strictness of regulatory bodies like OJK, and the rapid pace of digitalization require an analyst who is not only numerically precise but also strategically agile.</w:t>
      </w:r>
    </w:p>
    <w:p>
      <w:pPr>
        <w:pStyle w:val="BodyText"/>
      </w:pPr>
      <w:r>
        <w:t xml:space="preserve">By adhering to the frameworks outlined in this Lab Report, organizations can better equip their financial teams to handle these challenges. Ultimately, successful financial analysis in Jakarta goes beyond balancing books—it involves interpreting a vibrant and complex economic ecosystem to drive sustainable growth for investors and stakeholders alike.</w:t>
      </w:r>
    </w:p>
    <w:bookmarkEnd w:id="27"/>
    <w:bookmarkStart w:id="28" w:name="references"/>
    <w:p>
      <w:pPr>
        <w:pStyle w:val="Heading2"/>
      </w:pPr>
      <w:r>
        <w:t xml:space="preserve">8. References</w:t>
      </w:r>
    </w:p>
    <w:p>
      <w:pPr>
        <w:numPr>
          <w:ilvl w:val="0"/>
          <w:numId w:val="1013"/>
        </w:numPr>
        <w:pStyle w:val="Compact"/>
      </w:pPr>
      <w:r>
        <w:t xml:space="preserve">Bank Indonesia (BI) Monthly Economic Reports (2023-2024).</w:t>
      </w:r>
    </w:p>
    <w:p>
      <w:pPr>
        <w:numPr>
          <w:ilvl w:val="0"/>
          <w:numId w:val="1014"/>
        </w:numPr>
        <w:pStyle w:val="Compact"/>
      </w:pPr>
      <w:r>
        <w:t xml:space="preserve">Otoritas Jasa Keuangan (OJK) Regulatory Guidelines on Corporate Governance.</w:t>
      </w:r>
    </w:p>
    <w:p>
      <w:pPr>
        <w:pStyle w:val="FirstParagraph"/>
      </w:pPr>
      <w:r>
        <w:t xml:space="preserve">Indonesia Stock Exchange Annual Statistical Data.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Indonesia Jakarta</dc:title>
  <dc:creator/>
  <dc:language>en</dc:language>
  <cp:keywords/>
  <dcterms:created xsi:type="dcterms:W3CDTF">2026-07-29T19:38:17Z</dcterms:created>
  <dcterms:modified xsi:type="dcterms:W3CDTF">2026-07-29T19:38:17Z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