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Iraq</w:t>
      </w:r>
      <w:r>
        <w:t xml:space="preserve"> </w:t>
      </w:r>
      <w:r>
        <w:t xml:space="preserve">Baghdad</w:t>
      </w:r>
    </w:p>
    <w:bookmarkStart w:id="32" w:name="Xdc26da213f6cc005d3d7cea848cddea68dcc9a2"/>
    <w:p>
      <w:pPr>
        <w:pStyle w:val="Heading1"/>
      </w:pPr>
      <w:r>
        <w:t xml:space="preserve">Laboratory Analysis Report: The Role of the Financial Analyst in Iraq Baghdad</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FA-IQ-BAGHDAD-001</w:t>
      </w:r>
      <w:r>
        <w:br/>
      </w:r>
      <w:r>
        <w:rPr>
          <w:bCs/>
          <w:b/>
        </w:rPr>
        <w:t xml:space="preserve">Candidate Profile:</w:t>
      </w:r>
      <w:r>
        <w:br/>
      </w:r>
      <w:r>
        <w:t xml:space="preserve">- Degree: Bachelor of Commerce in Finance or Accounting.</w:t>
      </w:r>
      <w:r>
        <w:br/>
      </w:r>
      <w:r>
        <w:t xml:space="preserve">- Experience: Minimum 3-5 years in corporate finance within the Middle East region.</w:t>
      </w:r>
      <w:r>
        <w:br/>
      </w:r>
      <w:r>
        <w:t xml:space="preserve">- Location Focus: Iraq Baghdad.</w:t>
      </w:r>
    </w:p>
    <w:bookmarkStart w:id="20" w:name="executive-summary"/>
    <w:p>
      <w:pPr>
        <w:pStyle w:val="Heading2"/>
      </w:pPr>
      <w:r>
        <w:t xml:space="preserve">1.0 Executive Summary</w:t>
      </w:r>
    </w:p>
    <w:p>
      <w:pPr>
        <w:pStyle w:val="FirstParagraph"/>
      </w:pPr>
      <w:r>
        <w:t xml:space="preserve">This document serves as a comprehensive lab report defining the critical requirements, environmental factors, and strategic responsibilities of a Financial Analyst operating within the unique economic landscape of Iraq Baghdad. As Baghdad emerges as a central hub for reconstruction and development in Iraq, the demand for sophisticated financial oversight has reached unprecedented levels. This report analyzes how a qualified</w:t>
      </w:r>
      <w:r>
        <w:t xml:space="preserve"> </w:t>
      </w:r>
      <w:r>
        <w:t xml:space="preserve">Financial Analyst</w:t>
      </w:r>
      <w:r>
        <w:t xml:space="preserve"> </w:t>
      </w:r>
      <w:r>
        <w:t xml:space="preserve">must adapt to local regulatory frameworks, currency fluctuations involving the Iraqi Dinar (IQD) against the US Dollar (USD), and infrastructural challenges inherent to operating in</w:t>
      </w:r>
      <w:r>
        <w:t xml:space="preserve"> </w:t>
      </w:r>
      <w:r>
        <w:t xml:space="preserve">Iraq Baghdad</w:t>
      </w:r>
      <w:r>
        <w:t xml:space="preserve">. The objective is to outline a standard operating procedure for financial modeling, risk assessment, and compliance that ensures organizational stability in this volatile yet promising market.</w:t>
      </w:r>
    </w:p>
    <w:bookmarkEnd w:id="20"/>
    <w:bookmarkStart w:id="22" w:name="Xb6ceeaeb721044378476475e0518ce1eeb2db65"/>
    <w:p>
      <w:pPr>
        <w:pStyle w:val="Heading2"/>
      </w:pPr>
      <w:r>
        <w:t xml:space="preserve">2.0 Market Context: Iraq Baghdad Economic Environment</w:t>
      </w:r>
    </w:p>
    <w:p>
      <w:pPr>
        <w:pStyle w:val="FirstParagraph"/>
      </w:pPr>
      <w:r>
        <w:t xml:space="preserve">The economic ecosystem of</w:t>
      </w:r>
      <w:r>
        <w:t xml:space="preserve"> </w:t>
      </w:r>
      <w:r>
        <w:t xml:space="preserve">Iraq Baghdad</w:t>
      </w:r>
      <w:r>
        <w:t xml:space="preserve"> </w:t>
      </w:r>
      <w:r>
        <w:t xml:space="preserve">is characterized by its heavy reliance on oil revenues, which constitute the vast majority of government income and foreign currency reserves. However, recent diversification efforts in construction, technology, and small-to-medium enterprises (SMEs) have created a fertile ground for private sector financial analysis. For a</w:t>
      </w:r>
      <w:r>
        <w:t xml:space="preserve"> </w:t>
      </w:r>
      <w:r>
        <w:t xml:space="preserve">Financial Analyst</w:t>
      </w:r>
      <w:r>
        <w:t xml:space="preserve"> </w:t>
      </w:r>
      <w:r>
        <w:t xml:space="preserve">based in Baghdad, understanding the dual-currency environment is paramount. While international contracts are often denominated in USD, local operational costs are frequently transacted in IQD.</w:t>
      </w:r>
    </w:p>
    <w:bookmarkStart w:id="21" w:name="currency-volatility-and-exchange-rates"/>
    <w:p>
      <w:pPr>
        <w:pStyle w:val="Heading3"/>
      </w:pPr>
      <w:r>
        <w:t xml:space="preserve">2.1 Currency Volatility and Exchange Rates</w:t>
      </w:r>
    </w:p>
    <w:p>
      <w:pPr>
        <w:pStyle w:val="FirstParagraph"/>
      </w:pPr>
      <w:r>
        <w:t xml:space="preserve">The primary variable affecting financial forecasting in Baghdad is the exchange rate between the IQD and major fiat currencies. The Central Bank of Iraq (CBI) manages a managed float system, but market pressures often lead to deviations between the official bank rate and the open market rate. A competent Financial Analyst must monitor these spreads daily to mitigate hedging risks.</w:t>
      </w:r>
    </w:p>
    <w:p>
      <w:pPr>
        <w:pStyle w:val="BodyText"/>
      </w:pPr>
      <w:r>
        <w:t xml:space="preserve">Factor</w:t>
      </w:r>
    </w:p>
    <w:bookmarkEnd w:id="21"/>
    <w:bookmarkEnd w:id="22"/>
    <w:p>
      <w:pPr>
        <w:pStyle w:val="BodyText"/>
      </w:pPr>
      <w:r>
        <w:t xml:space="preserve">Iraq Baghdad Specifics</w:t>
      </w:r>
    </w:p>
    <w:p>
      <w:pPr>
        <w:pStyle w:val="BodyText"/>
      </w:pPr>
      <w:r>
        <w:t xml:space="preserve">IQA/USD Impact on Analysis</w:t>
      </w:r>
    </w:p>
    <w:p>
      <w:pPr>
        <w:pStyle w:val="BodyText"/>
      </w:pPr>
      <w:r>
        <w:t xml:space="preserve">Liquidity Constraints</w:t>
      </w:r>
    </w:p>
    <w:p>
      <w:pPr>
        <w:pStyle w:val="BodyText"/>
      </w:pPr>
      <w:r>
        <w:t xml:space="preserve">Cash flow timing issues in local banks.</w:t>
      </w:r>
    </w:p>
    <w:p>
      <w:pPr>
        <w:pStyle w:val="BodyText"/>
      </w:pPr>
      <w:r>
        <w:t xml:space="preserve">Affects working capital models.</w:t>
      </w:r>
    </w:p>
    <w:p>
      <w:pPr>
        <w:pStyle w:val="BodyText"/>
      </w:pPr>
      <w:r>
        <w:t xml:space="preserve">Inflation RateVariable due to import dependency. &lt;/p&gt;&lt;Tr&gt;&lt;Td&gt;Impacts cost-of-goods sold (COGS) projections.&lt;/TD&gt;</w:t>
      </w:r>
    </w:p>
    <w:p>
      <w:pPr>
        <w:pStyle w:val="BodyText"/>
      </w:pPr>
      <w:r>
        <w:t xml:space="preserve">Taxation</w:t>
      </w:r>
    </w:p>
    <w:p>
      <w:pPr>
        <w:pStyle w:val="BodyText"/>
      </w:pPr>
      <w:r>
        <w:t xml:space="preserve">Corporate tax reforms ongoing.</w:t>
      </w:r>
    </w:p>
    <w:p>
      <w:pPr>
        <w:pStyle w:val="BodyText"/>
      </w:pPr>
      <w:r>
        <w:t xml:space="preserve">Affects net income forecasting.</w:t>
      </w:r>
    </w:p>
    <w:p>
      <w:pPr>
        <w:pStyle w:val="BodyText"/>
      </w:pPr>
      <w:r>
        <w:t xml:space="preserve">(Note: The table above illustrates key variables requiring real-time data integration by the analyst.)</w:t>
      </w:r>
    </w:p>
    <w:bookmarkStart w:id="23" w:name="X07a91e55f18b45d8a356e7e071789d426972cfd"/>
    <w:p>
      <w:pPr>
        <w:pStyle w:val="Heading2"/>
      </w:pPr>
      <w:r>
        <w:t xml:space="preserve">3.0 Core Competencies and Technical Requirements</w:t>
      </w:r>
    </w:p>
    <w:p>
      <w:pPr>
        <w:pStyle w:val="FirstParagraph"/>
      </w:pPr>
      <w:r>
        <w:t xml:space="preserve">To function effectively in this region, the Financial Analyst must possess a specialized toolkit that goes beyond standard Western accounting practices. The following skills are deemed essential for success in the Iraq Baghdad market:</w:t>
      </w:r>
    </w:p>
    <w:p>
      <w:pPr>
        <w:numPr>
          <w:ilvl w:val="0"/>
          <w:numId w:val="1001"/>
        </w:numPr>
        <w:pStyle w:val="Compact"/>
      </w:pPr>
      <w:r>
        <w:rPr>
          <w:bCs/>
          <w:b/>
        </w:rPr>
        <w:t xml:space="preserve">Bilingual Proficiency (Arabic/English):</w:t>
      </w:r>
      <w:r>
        <w:t xml:space="preserve"> </w:t>
      </w:r>
      <w:r>
        <w:t xml:space="preserve">All official banking documents, tax filings with the Ministry of Finance in Baghdad, and local contracts must be interpreted accurately. Misinterpretation here can lead to severe compliance penalties.</w:t>
      </w:r>
    </w:p>
    <w:p>
      <w:pPr>
        <w:numPr>
          <w:ilvl w:val="0"/>
          <w:numId w:val="1001"/>
        </w:numPr>
        <w:pStyle w:val="Compact"/>
      </w:pPr>
      <w:r>
        <w:rPr>
          <w:bCs/>
          <w:b/>
        </w:rPr>
        <w:t xml:space="preserve">Risk Management Modeling:</w:t>
      </w:r>
      <w:r>
        <w:t xml:space="preserve"> </w:t>
      </w:r>
      <w:r>
        <w:t xml:space="preserve">Given the geopolitical nuances of</w:t>
      </w:r>
      <w:r>
        <w:t xml:space="preserve"> </w:t>
      </w:r>
      <w:r>
        <w:t xml:space="preserve">Iraq Baghdad</w:t>
      </w:r>
      <w:r>
        <w:t xml:space="preserve">, analysts must build scenario-based models that account for supply chain disruptions, security-related delays, and regulatory shifts.</w:t>
      </w:r>
    </w:p>
    <w:p>
      <w:pPr>
        <w:numPr>
          <w:ilvl w:val="0"/>
          <w:numId w:val="1001"/>
        </w:numPr>
        <w:pStyle w:val="Compact"/>
      </w:pPr>
      <w:r>
        <w:rPr>
          <w:bCs/>
          <w:b/>
        </w:rPr>
        <w:t xml:space="preserve">Digital Literacy in Low-Bandwidth Environments:</w:t>
      </w:r>
      <w:r>
        <w:t xml:space="preserve"> </w:t>
      </w:r>
      <w:r>
        <w:t xml:space="preserve">Internet connectivity in certain parts of Baghdad can be inconsistent. The analyst must be proficient in offline-capable financial software and data synchronization techniques to ensure continuity of operations.</w:t>
      </w:r>
    </w:p>
    <w:p>
      <w:pPr>
        <w:numPr>
          <w:ilvl w:val="0"/>
          <w:numId w:val="1001"/>
        </w:numPr>
        <w:pStyle w:val="Compact"/>
      </w:pPr>
      <w:r>
        <w:rPr>
          <w:bCs/>
          <w:b/>
        </w:rPr>
        <w:t xml:space="preserve">Regulatory Compliance (CBI &amp; Ministry of Finance):</w:t>
      </w:r>
      <w:r>
        <w:t xml:space="preserve"> </w:t>
      </w:r>
      <w:r>
        <w:t xml:space="preserve">Deep understanding of the Foreign Exchange Law and recent amendments regarding repatriation of profits for foreign entities operating in Iraq.</w:t>
      </w:r>
    </w:p>
    <w:bookmarkEnd w:id="23"/>
    <w:bookmarkStart w:id="27" w:name="X000147651a0db68c1d92011f1da911ce377560b"/>
    <w:p>
      <w:pPr>
        <w:pStyle w:val="Heading2"/>
      </w:pPr>
      <w:r>
        <w:t xml:space="preserve">4.0 Methodology: The Baghdad Financial Audit Protocol</w:t>
      </w:r>
    </w:p>
    <w:p>
      <w:pPr>
        <w:pStyle w:val="FirstParagraph"/>
      </w:pPr>
      <w:r>
        <w:t xml:space="preserve">This section outlines the methodological approach a Financial Analyst should adopt when conducting quarterly reviews for entities operating in Baghdad.</w:t>
      </w:r>
    </w:p>
    <w:bookmarkStart w:id="24" w:name="data-collection-and-validation"/>
    <w:p>
      <w:pPr>
        <w:pStyle w:val="Heading3"/>
      </w:pPr>
      <w:r>
        <w:t xml:space="preserve">4.1 Data Collection and Validation</w:t>
      </w:r>
    </w:p>
    <w:p>
      <w:pPr>
        <w:pStyle w:val="FirstParagraph"/>
      </w:pPr>
      <w:r>
        <w:t xml:space="preserve">The first phase involves gathering transactional data from local branches and head offices abroad. Due to the fragmented banking infrastructure, cross-referencing bank statements with physical receipts is often necessary to ensure accuracy. The analyst must verify that all expenditures comply with the anti-money laundering (AML) regulations strictly enforced by Iraqi authorities post-2020.</w:t>
      </w:r>
    </w:p>
    <w:bookmarkEnd w:id="24"/>
    <w:bookmarkStart w:id="25" w:name="variance-analysis"/>
    <w:p>
      <w:pPr>
        <w:pStyle w:val="Heading3"/>
      </w:pPr>
      <w:r>
        <w:t xml:space="preserve">4.2 Variance Analysis</w:t>
      </w:r>
    </w:p>
    <w:p>
      <w:pPr>
        <w:pStyle w:val="FirstParagraph"/>
      </w:pPr>
      <w:r>
        <w:t xml:space="preserve">Variance analysis in Iraq Baghdad requires a distinct focus on volume variances caused by logistical hurdles rather than just price variances. For instance, if project costs overrun budget, the Financial Analyst must determine if the cause was inflationary (price variance) or due to delivery delays caused by infrastructure issues (volume/time variance). This distinction is crucial for accurate reporting to international stakeholders.</w:t>
      </w:r>
    </w:p>
    <w:bookmarkEnd w:id="25"/>
    <w:bookmarkStart w:id="26" w:name="forecasting-and-budgeting"/>
    <w:p>
      <w:pPr>
        <w:pStyle w:val="Heading3"/>
      </w:pPr>
      <w:r>
        <w:t xml:space="preserve">4.3 Forecasting and Budgeting</w:t>
      </w:r>
    </w:p>
    <w:p>
      <w:pPr>
        <w:pStyle w:val="FirstParagraph"/>
      </w:pPr>
      <w:r>
        <w:t xml:space="preserve">Budgets in this region must be flexible. A static annual budget is often obsolete within three months due to rapid changes in local currency valuation or government subsidy adjustments. The Financial Analyst should implement rolling forecasts, updated monthly, to reflect the true economic reality of operating in Baghdad.</w:t>
      </w:r>
    </w:p>
    <w:bookmarkEnd w:id="26"/>
    <w:bookmarkEnd w:id="27"/>
    <w:bookmarkStart w:id="28" w:name="challenges-and-mitigation-strategies"/>
    <w:p>
      <w:pPr>
        <w:pStyle w:val="Heading2"/>
      </w:pPr>
      <w:r>
        <w:t xml:space="preserve">5.0 Challenges and Mitigation Strategies</w:t>
      </w:r>
    </w:p>
    <w:p>
      <w:pPr>
        <w:pStyle w:val="FirstParagraph"/>
      </w:pPr>
      <w:r>
        <w:t xml:space="preserve">The role of a Financial Analyst in this context is not merely administrative; it is strategic and defensive. The following challenges are prevalent:</w:t>
      </w:r>
    </w:p>
    <w:p>
      <w:pPr>
        <w:numPr>
          <w:ilvl w:val="0"/>
          <w:numId w:val="1002"/>
        </w:numPr>
        <w:pStyle w:val="Compact"/>
      </w:pPr>
      <w:r>
        <w:rPr>
          <w:bCs/>
          <w:b/>
        </w:rPr>
        <w:t xml:space="preserve">Bureaucratic Delays:</w:t>
      </w:r>
      <w:r>
        <w:t xml:space="preserve"> </w:t>
      </w:r>
      <w:r>
        <w:t xml:space="preserve">Processing payments with government entities in Baghdad can take months. The analyst must maintain rigorous cash flow reserves to prevent liquidity crises.</w:t>
      </w:r>
    </w:p>
    <w:p>
      <w:pPr>
        <w:numPr>
          <w:ilvl w:val="0"/>
          <w:numId w:val="1002"/>
        </w:numPr>
        <w:pStyle w:val="Compact"/>
      </w:pPr>
      <w:r>
        <w:rPr>
          <w:bCs/>
          <w:b/>
        </w:rPr>
        <w:t xml:space="preserve">Talent Acquisition:</w:t>
      </w:r>
      <w:r>
        <w:t xml:space="preserve"> </w:t>
      </w:r>
      <w:r>
        <w:t xml:space="preserve">There is a shortage of finance professionals trained in international standards (IFRS/GAAP). Therefore, the Analyst often plays a mentorship role, training local staff on reporting standards.</w:t>
      </w:r>
    </w:p>
    <w:p>
      <w:pPr>
        <w:numPr>
          <w:ilvl w:val="0"/>
          <w:numId w:val="1002"/>
        </w:numPr>
        <w:pStyle w:val="Compact"/>
      </w:pPr>
      <w:r>
        <w:rPr>
          <w:bCs/>
          <w:b/>
        </w:rPr>
        <w:t xml:space="preserve">Data Integrity:</w:t>
      </w:r>
      <w:r>
        <w:t xml:space="preserve"> </w:t>
      </w:r>
      <w:r>
        <w:t xml:space="preserve">Digitization levels vary across companies. The analyst must implement robust internal controls to prevent fraud, which remains a concern in emerging markets.</w:t>
      </w:r>
    </w:p>
    <w:p>
      <w:pPr>
        <w:pStyle w:val="FirstParagraph"/>
      </w:pPr>
      <w:r>
        <w:t xml:space="preserve">To mitigate these issues, the Financial Analyst should advocate for the use of standardized ERP systems that are cloud-based but can store data locally for redundancy. Furthermore, building strong relationships with local banking partners is essential for navigating capital controls.</w:t>
      </w:r>
    </w:p>
    <w:bookmarkEnd w:id="28"/>
    <w:bookmarkStart w:id="29" w:name="ethical-considerations-and-governance"/>
    <w:p>
      <w:pPr>
        <w:pStyle w:val="Heading2"/>
      </w:pPr>
      <w:r>
        <w:t xml:space="preserve">6.0 Ethical Considerations and Governance</w:t>
      </w:r>
    </w:p>
    <w:p>
      <w:pPr>
        <w:pStyle w:val="FirstParagraph"/>
      </w:pPr>
      <w:r>
        <w:t xml:space="preserve">In the financial landscape of Iraq Baghdad, ethical governance is paramount. The Financial Analyst serves as the gatekeeper of integrity. This includes ensuring transparency in dealings with local suppliers and avoiding conflicts of interest that may arise in a close-knit business community. Adherence to international anti-corruption laws (such as the FCPA or UK Bribery Act) is non-negotiable for any multinational company operating here.</w:t>
      </w:r>
    </w:p>
    <w:bookmarkEnd w:id="29"/>
    <w:bookmarkStart w:id="30" w:name="conclusion"/>
    <w:p>
      <w:pPr>
        <w:pStyle w:val="Heading2"/>
      </w:pPr>
      <w:r>
        <w:t xml:space="preserve">7.0 Conclusion</w:t>
      </w:r>
    </w:p>
    <w:p>
      <w:pPr>
        <w:pStyle w:val="FirstParagraph"/>
      </w:pPr>
      <w:r>
        <w:t xml:space="preserve">The role of the Financial Analyst in Iraq Baghdad is complex, requiring a blend of technical financial acumen, cultural intelligence, and adaptability. It is not enough to simply balance books; one must interpret the economic signals unique to this region. From managing IQD/USD exposure to navigating CBI regulations, the Analyst acts as a stabilizing force for organizations investing in Baghdad's future.</w:t>
      </w:r>
    </w:p>
    <w:p>
      <w:pPr>
        <w:pStyle w:val="BodyText"/>
      </w:pPr>
      <w:r>
        <w:t xml:space="preserve">As Iraq continues its post-conflict reconstruction and economic diversification, the value of a skilled Financial Analyst who understands the local nuances will only increase. This lab report establishes that success in this role is contingent upon dynamic risk modeling, rigorous compliance adherence, and strategic cash flow management tailored to the specific realities of Baghdad’s market.</w:t>
      </w:r>
    </w:p>
    <w:bookmarkEnd w:id="30"/>
    <w:bookmarkStart w:id="31" w:name="references-and-further-reading"/>
    <w:p>
      <w:pPr>
        <w:pStyle w:val="Heading2"/>
      </w:pPr>
      <w:r>
        <w:t xml:space="preserve">8.0 References and Further Reading</w:t>
      </w:r>
    </w:p>
    <w:p>
      <w:pPr>
        <w:numPr>
          <w:ilvl w:val="0"/>
          <w:numId w:val="1003"/>
        </w:numPr>
        <w:pStyle w:val="Compact"/>
      </w:pPr>
      <w:r>
        <w:t xml:space="preserve">Central Bank of Iraq (CBI) Annual Reports.</w:t>
      </w:r>
    </w:p>
    <w:p>
      <w:pPr>
        <w:numPr>
          <w:ilvl w:val="0"/>
          <w:numId w:val="1003"/>
        </w:numPr>
        <w:pStyle w:val="Compact"/>
      </w:pPr>
      <w:r>
        <w:t xml:space="preserve">Iraqi Ministry of Finance Regulatory Updates.</w:t>
      </w:r>
    </w:p>
    <w:p>
      <w:pPr>
        <w:numPr>
          <w:ilvl w:val="0"/>
          <w:numId w:val="1003"/>
        </w:numPr>
        <w:pStyle w:val="Compact"/>
      </w:pPr>
      <w:r>
        <w:t xml:space="preserve">World Bank Iraq Economic Monitor.</w:t>
      </w:r>
    </w:p>
    <w:p>
      <w:pPr>
        <w:numPr>
          <w:ilvl w:val="0"/>
          <w:numId w:val="1003"/>
        </w:numPr>
        <w:pStyle w:val="Compact"/>
      </w:pPr>
      <w:r>
        <w:t xml:space="preserve">Institute of Management Accountants (IMA) Case Studies on Emerging Markets.</w:t>
      </w:r>
    </w:p>
    <w:p>
      <w:pPr>
        <w:pStyle w:val="FirstParagraph"/>
      </w:pPr>
      <w:r>
        <w:br/>
      </w:r>
      <w:r>
        <w:br/>
      </w:r>
    </w:p>
    <w:p>
      <w:pPr>
        <w:pStyle w:val="BodyText"/>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Iraq Baghdad</dc:title>
  <dc:creator/>
  <dc:language>en</dc:language>
  <cp:keywords/>
  <dcterms:created xsi:type="dcterms:W3CDTF">2026-07-29T11:25:23Z</dcterms:created>
  <dcterms:modified xsi:type="dcterms:W3CDTF">2026-07-29T11:25:23Z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