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Analysis</w:t>
      </w:r>
      <w:r>
        <w:t xml:space="preserve"> </w:t>
      </w:r>
      <w:r>
        <w:t xml:space="preserve">Framework</w:t>
      </w:r>
      <w:r>
        <w:t xml:space="preserve"> </w:t>
      </w:r>
      <w:r>
        <w:t xml:space="preserve">for</w:t>
      </w:r>
      <w:r>
        <w:t xml:space="preserve"> </w:t>
      </w:r>
      <w:r>
        <w:t xml:space="preserve">Emerging</w:t>
      </w:r>
      <w:r>
        <w:t xml:space="preserve"> </w:t>
      </w:r>
      <w:r>
        <w:t xml:space="preserve">Markets</w:t>
      </w:r>
    </w:p>
    <w:bookmarkStart w:id="30" w:name="lab-report-no.-fa-2024-mmy"/>
    <w:p>
      <w:pPr>
        <w:pStyle w:val="Heading1"/>
      </w:pPr>
      <w:r>
        <w:t xml:space="preserve">Lab Report No. FA-2024-MMY</w:t>
      </w:r>
    </w:p>
    <w:bookmarkStart w:id="20" w:name="X0cafe0375d886368090c00aa052404c318e5dac"/>
    <w:p>
      <w:pPr>
        <w:pStyle w:val="Heading3"/>
      </w:pPr>
      <w:r>
        <w:rPr>
          <w:bCs/>
          <w:b/>
        </w:rPr>
        <w:t xml:space="preserve">Title:</w:t>
      </w:r>
      <w:r>
        <w:t xml:space="preserve"> </w:t>
      </w:r>
      <w:r>
        <w:t xml:space="preserve">Comprehensive Financial Analysis and Strategic Valuation Framework for Corporate Entities in Myanmar Yangon</w:t>
      </w:r>
    </w:p>
    <w:p>
      <w:pPr>
        <w:pStyle w:val="FirstParagraph"/>
      </w:pPr>
      <w:r>
        <w:rPr>
          <w:bCs/>
          <w:b/>
        </w:rPr>
        <w:t xml:space="preserve">Date:</w:t>
      </w:r>
      <w:r>
        <w:t xml:space="preserve"> </w:t>
      </w:r>
      <w:r>
        <w:t xml:space="preserve">October 26, 2024</w:t>
      </w:r>
      <w:r>
        <w:br/>
      </w:r>
      <w:r>
        <w:rPr>
          <w:bCs/>
          <w:b/>
        </w:rPr>
        <w:t xml:space="preserve">Prepared For:</w:t>
      </w:r>
      <w:r>
        <w:t xml:space="preserve"> </w:t>
      </w:r>
      <w:r>
        <w:t xml:space="preserve">Investment Committee, Regional Development Division</w:t>
      </w:r>
      <w:r>
        <w:br/>
      </w:r>
      <w:r>
        <w:rPr>
          <w:bCs/>
          <w:b/>
        </w:rPr>
        <w:t xml:space="preserve">Focal Region:</w:t>
      </w:r>
      <w:r>
        <w:t xml:space="preserve"> </w:t>
      </w:r>
      <w:r>
        <w:t xml:space="preserve">Myanmar Yangon</w:t>
      </w:r>
    </w:p>
    <w:bookmarkEnd w:id="20"/>
    <w:bookmarkStart w:id="21" w:name="abstract"/>
    <w:p>
      <w:pPr>
        <w:pStyle w:val="Heading2"/>
      </w:pPr>
      <w:r>
        <w:t xml:space="preserve">1. Abstract</w:t>
      </w:r>
    </w:p>
    <w:p>
      <w:pPr>
        <w:pStyle w:val="FirstParagraph"/>
      </w:pPr>
      <w:r>
        <w:t xml:space="preserve">This lab report outlines a rigorous financial analyst methodology designed specifically for the unique economic environment of Myanmar Yangon. As an emerging market characterized by distinct regulatory frameworks, currency volatility, and infrastructural challenges, Myanmar requires a specialized approach to financial modeling and valuation. This document details the experimental procedures used to analyze key performance indicators (KPIs) within the Yangon metropolitan area, focusing on inflation hedging strategies, liquidity management in a constrained banking sector, and compliance with local Central Bank directives. The findings suggest that traditional Western-centric models must be heavily adjusted to account for local macroeconomic realities.</w:t>
      </w:r>
    </w:p>
    <w:bookmarkEnd w:id="21"/>
    <w:bookmarkStart w:id="22" w:name="introduction-and-background"/>
    <w:p>
      <w:pPr>
        <w:pStyle w:val="Heading2"/>
      </w:pPr>
      <w:r>
        <w:t xml:space="preserve">2. Introduction and Background</w:t>
      </w:r>
    </w:p>
    <w:p>
      <w:pPr>
        <w:pStyle w:val="FirstParagraph"/>
      </w:pPr>
      <w:r>
        <w:t xml:space="preserve">The role of the financial analyst in</w:t>
      </w:r>
      <w:r>
        <w:t xml:space="preserve"> </w:t>
      </w:r>
      <w:r>
        <w:rPr>
          <w:bCs/>
          <w:b/>
        </w:rPr>
        <w:t xml:space="preserve">Myanmar Yangon</w:t>
      </w:r>
      <w:r>
        <w:br/>
      </w:r>
    </w:p>
    <w:p>
      <w:pPr>
        <w:pStyle w:val="BodyText"/>
      </w:pPr>
      <w:r>
        <w:rPr>
          <w:bCs/>
          <w:b/>
        </w:rPr>
        <w:t xml:space="preserve">Purpose:</w:t>
      </w:r>
      <w:r>
        <w:t xml:space="preserve">This lab report aims to establish a standardized protocol for conducting financial due diligence and forecasting for entities operating within the capital region of Myanmar. The economic landscape of</w:t>
      </w:r>
      <w:r>
        <w:t xml:space="preserve"> </w:t>
      </w:r>
      <w:r>
        <w:rPr>
          <w:bCs/>
          <w:b/>
        </w:rPr>
        <w:t xml:space="preserve">Myanmar Yangon</w:t>
      </w:r>
      <w:r>
        <w:br/>
      </w:r>
    </w:p>
    <w:p>
      <w:pPr>
        <w:pStyle w:val="BodyText"/>
      </w:pPr>
      <w:r>
        <w:rPr>
          <w:iCs/>
          <w:i/>
        </w:rPr>
        <w:t xml:space="preserve">Objective 1: Quantify the impact of currency fluctuation on imported raw materials.</w:t>
      </w:r>
      <w:r>
        <w:br/>
      </w:r>
      <w:r>
        <w:rPr>
          <w:iCs/>
          <w:i/>
        </w:rPr>
        <w:t xml:space="preserve">Objective 2: Assess liquidity constraints in local commercial banks.</w:t>
      </w:r>
      <w:r>
        <w:br/>
      </w:r>
    </w:p>
    <w:bookmarkEnd w:id="22"/>
    <w:bookmarkStart w:id="25" w:name="methodology-and-experimental-setup"/>
    <w:p>
      <w:pPr>
        <w:pStyle w:val="Heading2"/>
      </w:pPr>
      <w:r>
        <w:t xml:space="preserve">3. Methodology and Experimental Setup</w:t>
      </w:r>
    </w:p>
    <w:p>
      <w:pPr>
        <w:pStyle w:val="FirstParagraph"/>
      </w:pPr>
      <w:r>
        <w:t xml:space="preserve">To ensure the accuracy of our financial models, a multi-stage analytical process was employed. This section details the specific steps taken to simulate real-world scenarios for stakeholders in</w:t>
      </w:r>
      <w:r>
        <w:t xml:space="preserve"> </w:t>
      </w:r>
      <w:r>
        <w:rPr>
          <w:bCs/>
          <w:b/>
        </w:rPr>
        <w:t xml:space="preserve">Myanmar Yangon</w:t>
      </w:r>
      <w:r>
        <w:t xml:space="preserve">.</w:t>
      </w:r>
    </w:p>
    <w:bookmarkStart w:id="23" w:name="data-collection-sources"/>
    <w:p>
      <w:pPr>
        <w:pStyle w:val="Heading3"/>
      </w:pPr>
      <w:r>
        <w:t xml:space="preserve">3.1 Data Collection Sources</w:t>
      </w:r>
    </w:p>
    <w:p>
      <w:pPr>
        <w:pStyle w:val="FirstParagraph"/>
      </w:pPr>
      <w:r>
        <w:t xml:space="preserve">Data was aggregated from three primary sources relevant to the financial analyst's toolkit in this region:</w:t>
      </w:r>
    </w:p>
    <w:p>
      <w:pPr>
        <w:numPr>
          <w:ilvl w:val="0"/>
          <w:numId w:val="1001"/>
        </w:numPr>
        <w:pStyle w:val="Compact"/>
      </w:pPr>
      <w:r>
        <w:rPr>
          <w:bCs/>
          <w:b/>
        </w:rPr>
        <w:t xml:space="preserve">The Central Bank of Myanmar (CBM):</w:t>
      </w:r>
      <w:r>
        <w:t xml:space="preserve"> </w:t>
      </w:r>
      <w:r>
        <w:t xml:space="preserve">For monetary policy reports, exchange rate benchmarks, and reserve statistics.</w:t>
      </w:r>
    </w:p>
    <w:p>
      <w:pPr>
        <w:numPr>
          <w:ilvl w:val="0"/>
          <w:numId w:val="1001"/>
        </w:numPr>
        <w:pStyle w:val="Compact"/>
      </w:pPr>
      <w:r>
        <w:rPr>
          <w:bCs/>
          <w:b/>
        </w:rPr>
        <w:t xml:space="preserve">The Ministry of Planning and Finance:</w:t>
      </w:r>
      <w:r>
        <w:t xml:space="preserve"> </w:t>
      </w:r>
      <w:r>
        <w:t xml:space="preserve">For national GDP projections, inflation rates, and fiscal budget allocations.</w:t>
      </w:r>
    </w:p>
    <w:bookmarkEnd w:id="23"/>
    <w:bookmarkStart w:id="24" w:name="analytical-models-utilized"/>
    <w:p>
      <w:pPr>
        <w:pStyle w:val="Heading3"/>
      </w:pPr>
      <w:r>
        <w:t xml:space="preserve">3.2 Analytical Models Utilized</w:t>
      </w:r>
    </w:p>
    <w:p>
      <w:pPr>
        <w:pStyle w:val="FirstParagraph"/>
      </w:pPr>
      <w:r>
        <w:t xml:space="preserve">The financial analyst applied several quantitative models tailored to high-inflation environments:</w:t>
      </w:r>
    </w:p>
    <w:p>
      <w:pPr>
        <w:numPr>
          <w:ilvl w:val="0"/>
          <w:numId w:val="1002"/>
        </w:numPr>
        <w:pStyle w:val="Compact"/>
      </w:pPr>
      <w:r>
        <w:rPr>
          <w:bCs/>
          <w:b/>
        </w:rPr>
        <w:t xml:space="preserve">Differential Inflation Adjustment Model:</w:t>
      </w:r>
      <w:r>
        <w:t xml:space="preserve">To account for the disparity between local inflation rates and international benchmarks.</w:t>
      </w:r>
    </w:p>
    <w:bookmarkEnd w:id="24"/>
    <w:bookmarkEnd w:id="25"/>
    <w:bookmarkStart w:id="26" w:name="results-and-observations"/>
    <w:p>
      <w:pPr>
        <w:pStyle w:val="Heading2"/>
      </w:pPr>
      <w:r>
        <w:t xml:space="preserve">4. Results and Observations</w:t>
      </w:r>
    </w:p>
    <w:p>
      <w:pPr>
        <w:pStyle w:val="FirstParagraph"/>
      </w:pPr>
      <w:r>
        <w:t xml:space="preserve">The analysis yielded several critical insights regarding the financial health of typical corporate structures in</w:t>
      </w:r>
      <w:r>
        <w:t xml:space="preserve"> </w:t>
      </w:r>
      <w:r>
        <w:rPr>
          <w:bCs/>
          <w:b/>
        </w:rPr>
        <w:t xml:space="preserve">Myanmar Yangon</w:t>
      </w:r>
      <w:r>
        <w:t xml:space="preserve">.</w:t>
      </w:r>
    </w:p>
    <w:p>
      <w:pPr>
        <w:pStyle w:val="BodyText"/>
      </w:pPr>
      <w:r>
        <w:br/>
      </w:r>
      <w:r>
        <w:br/>
      </w:r>
      <w:r>
        <w:t xml:space="preserve">The following table summarizes the key metrics observed during the simulation period:</w:t>
      </w:r>
    </w:p>
    <w:bookmarkEnd w:id="26"/>
    <w:bookmarkStart w:id="27" w:name="discussion"/>
    <w:p>
      <w:pPr>
        <w:pStyle w:val="Heading2"/>
      </w:pPr>
      <w:r>
        <w:t xml:space="preserve">5. Discussion</w:t>
      </w:r>
    </w:p>
    <w:p>
      <w:pPr>
        <w:pStyle w:val="FirstParagraph"/>
      </w:pPr>
      <w:r>
        <w:t xml:space="preserve">The data presented above highlights the complex interplay between global economic forces and local realities in</w:t>
      </w:r>
      <w:r>
        <w:t xml:space="preserve"> </w:t>
      </w:r>
      <w:r>
        <w:rPr>
          <w:bCs/>
          <w:b/>
        </w:rPr>
        <w:t xml:space="preserve">Myanmar Yangon</w:t>
      </w:r>
      <w:r>
        <w:t xml:space="preserve">. For any financial analyst operating in this jurisdiction, understanding these nuances is not merely academic but essential for survival and profitability.</w:t>
      </w:r>
    </w:p>
    <w:p>
      <w:pPr>
        <w:pStyle w:val="BodyText"/>
      </w:pPr>
      <w:r>
        <w:br/>
      </w:r>
      <w:r>
        <w:br/>
      </w:r>
    </w:p>
    <w:bookmarkEnd w:id="27"/>
    <w:bookmarkStart w:id="28" w:name="conclusion"/>
    <w:p>
      <w:pPr>
        <w:pStyle w:val="Heading2"/>
      </w:pPr>
      <w:r>
        <w:t xml:space="preserve">6. Conclusion</w:t>
      </w:r>
    </w:p>
    <w:p>
      <w:pPr>
        <w:pStyle w:val="FirstParagraph"/>
      </w:pPr>
      <w:r>
        <w:t xml:space="preserve">In conclusion, this lab report demonstrates that a standard approach to financial analysis is insufficient for the unique context of</w:t>
      </w:r>
      <w:r>
        <w:t xml:space="preserve"> </w:t>
      </w:r>
      <w:r>
        <w:rPr>
          <w:bCs/>
          <w:b/>
        </w:rPr>
        <w:t xml:space="preserve">Myanmar Yangon</w:t>
      </w:r>
      <w:r>
        <w:t xml:space="preserve">. The financial analyst must adopt a hybrid framework that integrates traditional valuation techniques with robust risk management strategies specific to emerging markets.</w:t>
      </w:r>
    </w:p>
    <w:p>
      <w:pPr>
        <w:pStyle w:val="BodyText"/>
      </w:pPr>
      <w:r>
        <w:br/>
      </w:r>
      <w:r>
        <w:rPr>
          <w:iCs/>
          <w:i/>
        </w:rPr>
        <w:t xml:space="preserve">The insights derived from this study on Myanmar Yangon provide a foundational blueprint for future financial modeling efforts in the region, ensuring that stakeholders can navigate volatility with greater confidence and precision.</w:t>
      </w:r>
    </w:p>
    <w:bookmarkEnd w:id="28"/>
    <w:bookmarkStart w:id="29" w:name="references-and-appendices"/>
    <w:p>
      <w:pPr>
        <w:pStyle w:val="Heading2"/>
      </w:pPr>
      <w:r>
        <w:t xml:space="preserve">7. References and Appendices</w:t>
      </w:r>
    </w:p>
    <w:p>
      <w:pPr>
        <w:pStyle w:val="FirstParagraph"/>
      </w:pPr>
      <w:r>
        <w:rPr>
          <w:bCs/>
          <w:b/>
        </w:rPr>
        <w:t xml:space="preserve">Appendix A:</w:t>
      </w:r>
      <w:r>
        <w:t xml:space="preserve">Detailed Balance Sheet Templates for Yangon-based Entities.</w:t>
      </w:r>
      <w:r>
        <w:br/>
      </w:r>
      <w:r>
        <w:rPr>
          <w:bCs/>
          <w:b/>
        </w:rPr>
        <w:t xml:space="preserve">Appendix B:</w:t>
      </w:r>
      <w:r>
        <w:t xml:space="preserve">Currency Conversion Algorithms used in the simulation.</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Analysis Framework for Emerging Markets</dc:title>
  <dc:creator/>
  <cp:keywords/>
  <dcterms:created xsi:type="dcterms:W3CDTF">2026-07-29T02:47:47Z</dcterms:created>
  <dcterms:modified xsi:type="dcterms:W3CDTF">2026-07-29T02:47:47Z</dcterms:modified>
</cp:coreProperties>
</file>

<file path=docProps/custom.xml><?xml version="1.0" encoding="utf-8"?>
<Properties xmlns="http://schemas.openxmlformats.org/officeDocument/2006/custom-properties" xmlns:vt="http://schemas.openxmlformats.org/officeDocument/2006/docPropsVTypes"/>
</file>