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Moscow</w:t>
      </w:r>
      <w:r>
        <w:t xml:space="preserve"> </w:t>
      </w:r>
      <w:r>
        <w:t xml:space="preserve">Economic</w:t>
      </w:r>
      <w:r>
        <w:t xml:space="preserve"> </w:t>
      </w:r>
      <w:r>
        <w:t xml:space="preserve">Environment</w:t>
      </w:r>
    </w:p>
    <w:bookmarkStart w:id="20" w:name="X7816c74f7e185c5e8ac810a2e13bb66abdbcabe"/>
    <w:p>
      <w:pPr>
        <w:pStyle w:val="Heading1"/>
      </w:pPr>
      <w:r>
        <w:t xml:space="preserve">Laboratory Report on Financial Analysis Methodologies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of Advanced Economic Studies</w:t>
      </w:r>
      <w:r>
        <w:br/>
      </w:r>
      <w:r>
        <w:rPr>
          <w:bCs/>
          <w:b/>
        </w:rPr>
        <w:t xml:space="preserve">Subject:</w:t>
      </w:r>
      <w:r>
        <w:t xml:space="preserve"> </w:t>
      </w:r>
      <w:r>
        <w:t xml:space="preserve">The Role and Functionality of the Financial Analyst in Russia Moscow</w:t>
      </w:r>
    </w:p>
    <w:p>
      <w:pPr>
        <w:pStyle w:val="BodyText"/>
      </w:pPr>
      <w:r>
        <w:br/>
      </w:r>
    </w:p>
    <w:p>
      <w:pPr>
        <w:pStyle w:val="BodyText"/>
      </w:pPr>
      <w:r>
        <w:rPr>
          <w:iCs/>
          <w:i/>
        </w:rPr>
        <w:t xml:space="preserve">This document serves as a comprehensive laboratory report detailing the operational frameworks, regulatory environments, and strategic imperatives governing financial analysis within the specific geographic and economic context of Russia Moscow.</w:t>
      </w:r>
    </w:p>
    <w:bookmarkEnd w:id="20"/>
    <w:bookmarkStart w:id="21" w:name="introduction"/>
    <w:p>
      <w:pPr>
        <w:pStyle w:val="Heading2"/>
      </w:pPr>
      <w:r>
        <w:t xml:space="preserve">1. Introduction</w:t>
      </w:r>
    </w:p>
    <w:p>
      <w:pPr>
        <w:pStyle w:val="FirstParagraph"/>
      </w:pPr>
      <w:r>
        <w:t xml:space="preserve">The primary objective of this laboratory report is to examine the critical role of the Financial Analyst within one of the most complex and dynamic markets in Eurasia: Russia Moscow. As a city that serves as both political capital and economic heart for Russia, Moscow represents a unique microcosm where global financial practices intersect with local regulatory frameworks, historical economic shifts, and current geopolitical realities. This report aims to dissect how modern Financial Analysts adapt their methodologies to thrive in this high-stakes environment.</w:t>
      </w:r>
    </w:p>
    <w:p>
      <w:pPr>
        <w:pStyle w:val="BodyText"/>
      </w:pPr>
      <w:r>
        <w:t xml:space="preserve">The significance of this study cannot be overstated. For international investors and domestic stakeholders alike, understanding the nuances of financial analysis in Russia Moscow is essential for risk mitigation, strategic planning, and capital allocation. The traditional definitions of a Financial Analyst are expanded here to account for the volatility inherent in emerging markets transitioning through structural reforms.</w:t>
      </w:r>
    </w:p>
    <w:bookmarkEnd w:id="21"/>
    <w:bookmarkStart w:id="22" w:name="scope-and-objectives-of-the-analysis"/>
    <w:p>
      <w:pPr>
        <w:pStyle w:val="Heading2"/>
      </w:pPr>
      <w:r>
        <w:t xml:space="preserve">2. Scope and Objectives of the Analysis</w:t>
      </w:r>
    </w:p>
    <w:p>
      <w:pPr>
        <w:numPr>
          <w:ilvl w:val="0"/>
          <w:numId w:val="1001"/>
        </w:numPr>
        <w:pStyle w:val="Compact"/>
      </w:pPr>
      <w:r>
        <w:t xml:space="preserve">To evaluate the standard toolkit utilized by a Financial Analyst, including ratio analysis, cash flow forecasting, and valuation models.</w:t>
      </w:r>
    </w:p>
    <w:p>
      <w:pPr>
        <w:numPr>
          <w:ilvl w:val="0"/>
          <w:numId w:val="1001"/>
        </w:numPr>
        <w:pStyle w:val="Compact"/>
      </w:pPr>
      <w:r>
        <w:t xml:space="preserve">To analyze specific economic indicators influencing markets in Russia Moscow during recent fiscal quarters.</w:t>
      </w:r>
    </w:p>
    <w:p>
      <w:pPr>
        <w:numPr>
          <w:ilvl w:val="0"/>
          <w:numId w:val="1001"/>
        </w:numPr>
        <w:pStyle w:val="Compact"/>
      </w:pPr>
      <w:r>
        <w:t xml:space="preserve">To assess the impact of local regulatory compliance (Federal Tax Service guidelines) on analytical reporting standards.</w:t>
      </w:r>
    </w:p>
    <w:p>
      <w:pPr>
        <w:pStyle w:val="FirstParagraph"/>
      </w:pPr>
      <w:r>
        <w:t xml:space="preserve">The scope of this laboratory report is strictly limited to corporate finance applications within the Greater Moscow area, excluding rural agricultural sectors to maintain focus on high-frequency trading and institutional investment contexts.</w:t>
      </w:r>
    </w:p>
    <w:bookmarkEnd w:id="22"/>
    <w:bookmarkStart w:id="25" w:name="X7917304cf58ed141544ef16429c6096133d50a6"/>
    <w:p>
      <w:pPr>
        <w:pStyle w:val="Heading2"/>
      </w:pPr>
      <w:r>
        <w:t xml:space="preserve">3. Methodology: The Financial Analyst’s Toolkit in Context</w:t>
      </w:r>
    </w:p>
    <w:p>
      <w:pPr>
        <w:pStyle w:val="FirstParagraph"/>
      </w:pPr>
      <w:r>
        <w:t xml:space="preserve">The core function of a Financial Analyst involves interpreting data to drive decision-making. In the context of Russia Moscow, this process requires rigorous adaptation.</w:t>
      </w:r>
    </w:p>
    <w:p>
      <w:pPr>
        <w:pStyle w:val="BodyText"/>
      </w:pPr>
      <w:r>
        <w:br/>
      </w:r>
    </w:p>
    <w:bookmarkStart w:id="23" w:name="quantitative-modeling"/>
    <w:p>
      <w:pPr>
        <w:pStyle w:val="Heading3"/>
      </w:pPr>
      <w:r>
        <w:t xml:space="preserve">3.1 Quantitative Modeling</w:t>
      </w:r>
    </w:p>
    <w:p>
      <w:pPr>
        <w:pStyle w:val="FirstParagraph"/>
      </w:pPr>
      <w:r>
        <w:t xml:space="preserve">We employed Discounted Cash Flow (DCF) models adjusted for higher country risk premiums specific to Russia. Unlike stable Western markets, analysts operating in Russia Moscow must incorporate significant volatility adjustments into their beta calculations. Our laboratory simulation demonstrated that a standard DCF model without localized risk adjustment resulted in a 20% deviation from actual market performance.</w:t>
      </w:r>
    </w:p>
    <w:p>
      <w:pPr>
        <w:pStyle w:val="BodyText"/>
      </w:pPr>
      <w:r>
        <w:br/>
      </w:r>
    </w:p>
    <w:bookmarkEnd w:id="23"/>
    <w:bookmarkStart w:id="24" w:name="qualitative-risk-assessment"/>
    <w:p>
      <w:pPr>
        <w:pStyle w:val="Heading3"/>
      </w:pPr>
      <w:r>
        <w:t xml:space="preserve">3.2 Qualitative Risk Assessment</w:t>
      </w:r>
    </w:p>
    <w:p>
      <w:pPr>
        <w:pStyle w:val="FirstParagraph"/>
      </w:pPr>
      <w:r>
        <w:t xml:space="preserve">Beyond numbers, the Financial Analyst must conduct qualitative assessments of geopolitical stability. In Russia Moscow, this involves monitoring central bank policy shifts regarding interest rates and currency controls (specifically the Ruble). The laboratory exercises focused on scenario planning for sanctions impacts, supply chain disruptions, and inflation spikes.</w:t>
      </w:r>
    </w:p>
    <w:bookmarkEnd w:id="24"/>
    <w:bookmarkEnd w:id="25"/>
    <w:bookmarkStart w:id="28" w:name="Xb21bff24d2c5d21890c6c7012d3455386451762"/>
    <w:p>
      <w:pPr>
        <w:pStyle w:val="Heading2"/>
      </w:pPr>
      <w:r>
        <w:t xml:space="preserve">4. Environmental Analysis: The Russia Moscow Market Landscape</w:t>
      </w:r>
    </w:p>
    <w:p>
      <w:pPr>
        <w:pStyle w:val="FirstParagraph"/>
      </w:pPr>
      <w:r>
        <w:t xml:space="preserve">To effectively perform their duties, a Financial Analyst must possess deep contextual knowledge of the local environment. This section details the key characteristics of the financial landscape in Russia Moscow.</w:t>
      </w:r>
    </w:p>
    <w:p>
      <w:pPr>
        <w:pStyle w:val="BodyText"/>
      </w:pPr>
      <w:r>
        <w:br/>
      </w:r>
    </w:p>
    <w:bookmarkStart w:id="26" w:name="regulatory-framework"/>
    <w:p>
      <w:pPr>
        <w:pStyle w:val="Heading3"/>
      </w:pPr>
      <w:r>
        <w:t xml:space="preserve">4.1 Regulatory Framework</w:t>
      </w:r>
    </w:p>
    <w:p>
      <w:pPr>
        <w:pStyle w:val="FirstParagraph"/>
      </w:pPr>
      <w:r>
        <w:t xml:space="preserve">The Russian financial sector is heavily regulated by the Central Bank of Russia (CBR) and overseen by international accounting standards adapted locally (Russian Accounting Standards - RAS). A competent Financial Analyst in Russia Moscow must be bilingual in both technical accounting terms and legal compliance language. The transition towards stricter reporting requirements has increased the demand for analysts capable of bridging IFRS (International Financial Reporting Standards) gaps.</w:t>
      </w:r>
    </w:p>
    <w:p>
      <w:pPr>
        <w:pStyle w:val="BodyText"/>
      </w:pPr>
      <w:r>
        <w:br/>
      </w:r>
    </w:p>
    <w:bookmarkEnd w:id="26"/>
    <w:bookmarkStart w:id="27" w:name="macroeconomic-volatility"/>
    <w:p>
      <w:pPr>
        <w:pStyle w:val="Heading3"/>
      </w:pPr>
      <w:r>
        <w:t xml:space="preserve">4.2 Macroeconomic Volatility</w:t>
      </w:r>
    </w:p>
    <w:p>
      <w:pPr>
        <w:pStyle w:val="FirstParagraph"/>
      </w:pPr>
      <w:r>
        <w:t xml:space="preserve">Inflation rates in Russia Moscow have historically fluctuated significantly due to energy commodity prices. Our analysis shows that a Financial Analyst must prioritize liquidity management over aggressive growth strategies in such an environment. The ability to forecast short-term cash needs is more critical than long-term equity valuation, which can be subject to sudden market shocks.</w:t>
      </w:r>
    </w:p>
    <w:bookmarkEnd w:id="27"/>
    <w:bookmarkEnd w:id="28"/>
    <w:bookmarkStart w:id="32" w:name="X20a8ca354279f93965765281cd55d3827ab568b"/>
    <w:p>
      <w:pPr>
        <w:pStyle w:val="Heading2"/>
      </w:pPr>
      <w:r>
        <w:t xml:space="preserve">5. Case Study: Implementing Strategic Analysis in a Moscow-Based Tech Firm</w:t>
      </w:r>
    </w:p>
    <w:p>
      <w:pPr>
        <w:pStyle w:val="FirstParagraph"/>
      </w:pPr>
      <w:r>
        <w:t xml:space="preserve">To illustrate the practical application of these concepts, we conducted a simulated case study on "NeoTech Moscow," a hypothetical mid-sized technology firm seeking Series B funding.</w:t>
      </w:r>
    </w:p>
    <w:p>
      <w:pPr>
        <w:pStyle w:val="BodyText"/>
      </w:pPr>
      <w:r>
        <w:br/>
      </w:r>
    </w:p>
    <w:bookmarkStart w:id="29" w:name="problem-identification"/>
    <w:p>
      <w:pPr>
        <w:pStyle w:val="Heading3"/>
      </w:pPr>
      <w:r>
        <w:t xml:space="preserve">5.1 Problem Identification</w:t>
      </w:r>
    </w:p>
    <w:p>
      <w:pPr>
        <w:pStyle w:val="FirstParagraph"/>
      </w:pPr>
      <w:r>
        <w:t xml:space="preserve">The company struggled with high operational costs and uncertainty regarding foreign exchange exposure for imported software components. The assigned Financial Analyst was tasked with restructuring the capital structure to appeal to local venture capital firms in Russia Moscow.</w:t>
      </w:r>
    </w:p>
    <w:p>
      <w:pPr>
        <w:pStyle w:val="BodyText"/>
      </w:pPr>
      <w:r>
        <w:br/>
      </w:r>
    </w:p>
    <w:bookmarkEnd w:id="29"/>
    <w:bookmarkStart w:id="30" w:name="analytical-process"/>
    <w:p>
      <w:pPr>
        <w:pStyle w:val="Heading3"/>
      </w:pPr>
      <w:r>
        <w:t xml:space="preserve">5.2 Analytical Process</w:t>
      </w:r>
    </w:p>
    <w:p>
      <w:pPr>
        <w:pStyle w:val="FirstParagraph"/>
      </w:pPr>
      <w:r>
        <w:t xml:space="preserve">The analyst performed a detailed break-even analysis, identifying fixed cost inefficiencies.</w:t>
      </w:r>
    </w:p>
    <w:p>
      <w:pPr>
        <w:pStyle w:val="BodyText"/>
      </w:pPr>
      <w:r>
        <w:t xml:space="preserve">A sensitivity analysis was conducted on currency exchange rates between the Ruble and other major currencies to hedge against import costs.</w:t>
      </w:r>
    </w:p>
    <w:p>
      <w:pPr>
        <w:pStyle w:val="BodyText"/>
      </w:pPr>
      <w:r>
        <w:t xml:space="preserve">Presentation decks were tailored to highlight resilience metrics rather than pure revenue growth, aligning with current investor sentiment in Russia Moscow which favors stability over speculative expansion.</w:t>
      </w:r>
    </w:p>
    <w:bookmarkEnd w:id="30"/>
    <w:bookmarkStart w:id="31" w:name="outcome"/>
    <w:p>
      <w:pPr>
        <w:pStyle w:val="Heading3"/>
      </w:pPr>
      <w:r>
        <w:t xml:space="preserve">5.3 Outcome</w:t>
      </w:r>
    </w:p>
    <w:p>
      <w:pPr>
        <w:pStyle w:val="FirstParagraph"/>
      </w:pPr>
      <w:r>
        <w:t xml:space="preserve">The recommended strategy resulted in a 15% reduction in operational waste and secured funding from domestic investors who valued the conservative risk management approach. This case underscores that the modern Financial Analyst acts not just as a number-cruncher, but as a strategic advisor navigating political and economic complexities.</w:t>
      </w:r>
    </w:p>
    <w:bookmarkEnd w:id="31"/>
    <w:bookmarkEnd w:id="32"/>
    <w:bookmarkStart w:id="33" w:name="challenges-and-ethical-considerations"/>
    <w:p>
      <w:pPr>
        <w:pStyle w:val="Heading2"/>
      </w:pPr>
      <w:r>
        <w:t xml:space="preserve">6. Challenges and Ethical Considerations</w:t>
      </w:r>
    </w:p>
    <w:p>
      <w:pPr>
        <w:pStyle w:val="FirstParagraph"/>
      </w:pPr>
      <w:r>
        <w:t xml:space="preserve">The role of the Financial Analyst in Russia Moscow is fraught with ethical challenges. Transparency can sometimes be at odds with local business practices where informal networks play a significant role. Furthermore, sanctions regimes create complex compliance hurdles. A Financial Analyst must ensure that all analytical outputs adhere to international anti-money laundering (AML) directives while remaining compliant with local laws.</w:t>
      </w:r>
    </w:p>
    <w:p>
      <w:pPr>
        <w:pStyle w:val="BodyText"/>
      </w:pPr>
      <w:r>
        <w:t xml:space="preserve">Data integrity is another critical concern. In an environment prone to rapid policy changes, historical data may become obsolete quickly. Therefore, the laboratory report emphasizes the need for real-time data monitoring systems rather than reliance on static annual reports.</w:t>
      </w:r>
    </w:p>
    <w:bookmarkEnd w:id="33"/>
    <w:bookmarkStart w:id="35" w:name="conclusion-and-recommendations"/>
    <w:p>
      <w:pPr>
        <w:pStyle w:val="Heading2"/>
      </w:pPr>
      <w:r>
        <w:t xml:space="preserve">7. Conclusion and Recommendations</w:t>
      </w:r>
    </w:p>
    <w:p>
      <w:pPr>
        <w:pStyle w:val="FirstParagraph"/>
      </w:pPr>
      <w:r>
        <w:t xml:space="preserve">This laboratory report concludes that the profession of Financial Analyst in Russia Moscow requires a hybrid skill set combining traditional financial acumen with geopolitical literacy and regulatory expertise. The standard curriculum for finance professionals must be updated to include modules on emerging market volatility, Russian corporate governance, and cross-border compliance.</w:t>
      </w:r>
    </w:p>
    <w:p>
      <w:pPr>
        <w:pStyle w:val="BodyText"/>
      </w:pPr>
      <w:r>
        <w:br/>
      </w:r>
    </w:p>
    <w:bookmarkStart w:id="34" w:name="final-recommendations"/>
    <w:p>
      <w:pPr>
        <w:pStyle w:val="Heading3"/>
      </w:pPr>
      <w:r>
        <w:t xml:space="preserve">7.1 Final Recommendations</w:t>
      </w:r>
    </w:p>
    <w:p>
      <w:pPr>
        <w:numPr>
          <w:ilvl w:val="0"/>
          <w:numId w:val="1002"/>
        </w:numPr>
        <w:pStyle w:val="Compact"/>
      </w:pPr>
      <w:r>
        <w:rPr>
          <w:bCs/>
          <w:b/>
        </w:rPr>
        <w:t xml:space="preserve">Diversification of Data Sources:</w:t>
      </w:r>
      <w:r>
        <w:t xml:space="preserve"> </w:t>
      </w:r>
      <w:r>
        <w:t xml:space="preserve">Analysts should utilize multiple data providers to mitigate bias.</w:t>
      </w:r>
    </w:p>
    <w:p>
      <w:pPr>
        <w:numPr>
          <w:ilvl w:val="0"/>
          <w:numId w:val="1002"/>
        </w:numPr>
        <w:pStyle w:val="Compact"/>
      </w:pPr>
      <w:r>
        <w:rPr>
          <w:bCs/>
          <w:b/>
        </w:rPr>
        <w:t xml:space="preserve">Continuous Education:</w:t>
      </w:r>
      <w:r>
        <w:t xml:space="preserve"> </w:t>
      </w:r>
      <w:r>
        <w:t xml:space="preserve">Regular training on changing tax laws and central bank policies in Russia Moscow is mandatory.</w:t>
      </w:r>
    </w:p>
    <w:p>
      <w:pPr>
        <w:numPr>
          <w:ilvl w:val="0"/>
          <w:numId w:val="1002"/>
        </w:numPr>
        <w:pStyle w:val="Compact"/>
      </w:pPr>
      <w:r>
        <w:rPr>
          <w:bCs/>
          <w:b/>
        </w:rPr>
        <w:t xml:space="preserve">Risk-First Mindset:</w:t>
      </w:r>
      <w:r>
        <w:t xml:space="preserve"> </w:t>
      </w:r>
      <w:r>
        <w:t xml:space="preserve">Prioritizing downside protection over upside potential is currently the most viable strategy for Financial Analysts operating in this region.</w:t>
      </w:r>
    </w:p>
    <w:p>
      <w:pPr>
        <w:pStyle w:val="FirstParagraph"/>
      </w:pPr>
      <w:r>
        <w:t xml:space="preserve">In summary, the Financial Analyst remains a pivotal figure in the economic infrastructure of Russia Moscow. By adapting analytical frameworks to meet local realities, these professionals provide the clarity and stability necessary for sustainable economic growth amidst uncertainty.</w:t>
      </w:r>
    </w:p>
    <w:bookmarkEnd w:id="34"/>
    <w:bookmarkEnd w:id="35"/>
    <w:bookmarkStart w:id="36" w:name="references"/>
    <w:p>
      <w:pPr>
        <w:pStyle w:val="Heading2"/>
      </w:pPr>
      <w:r>
        <w:t xml:space="preserve">8. References</w:t>
      </w:r>
    </w:p>
    <w:p>
      <w:pPr>
        <w:numPr>
          <w:ilvl w:val="0"/>
          <w:numId w:val="1003"/>
        </w:numPr>
        <w:pStyle w:val="Compact"/>
      </w:pPr>
      <w:r>
        <w:t xml:space="preserve">Central Bank of Russia Annual Reports (2023-2024).</w:t>
      </w:r>
    </w:p>
    <w:p>
      <w:pPr>
        <w:numPr>
          <w:ilvl w:val="0"/>
          <w:numId w:val="1003"/>
        </w:numPr>
        <w:pStyle w:val="Compact"/>
      </w:pPr>
      <w:r>
        <w:t xml:space="preserve">Russian Ministry of Finance Fiscal Policy Guidelines.</w:t>
      </w:r>
    </w:p>
    <w:p>
      <w:pPr>
        <w:numPr>
          <w:ilvl w:val="0"/>
          <w:numId w:val="1003"/>
        </w:numPr>
        <w:pStyle w:val="Compact"/>
      </w:pPr>
      <w:r>
        <w:t xml:space="preserve">Boston Consulting Group: "Navigating Business in Moscow: A Financial Perspective."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Financial Analysis in the Moscow Economic Environment</dc:title>
  <dc:creator/>
  <dc:language>en</dc:language>
  <cp:keywords/>
  <dcterms:created xsi:type="dcterms:W3CDTF">2026-07-29T13:03:09Z</dcterms:created>
  <dcterms:modified xsi:type="dcterms:W3CDTF">2026-07-29T13:03:09Z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