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Switzerland</w:t>
      </w:r>
      <w:r>
        <w:t xml:space="preserve"> </w:t>
      </w:r>
      <w:r>
        <w:t xml:space="preserve">Zurich</w:t>
      </w:r>
    </w:p>
    <w:bookmarkStart w:id="30" w:name="X9dececd7c9a5c70cc09d248ce6865d0919c76bf"/>
    <w:p>
      <w:pPr>
        <w:pStyle w:val="Heading1"/>
      </w:pPr>
      <w:r>
        <w:t xml:space="preserve">Laboratory Report: Financial Analyst Operations in Switzerland Zurich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Jurisdiction:</w:t>
      </w:r>
      <w:r>
        <w:t xml:space="preserve"> </w:t>
      </w:r>
      <w:r>
        <w:t xml:space="preserve">Switzerland Zurich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laboratory report detailing the operational frameworks, regulatory compliance mechanisms, and economic methodologies employed by Financial Analysts within the specific geographic and economic context of Switzerland Zurich. The primary objective of this analysis is to dissect how modern financial intelligence is synthesized in one of the world’s most prestigious banking hubs. By treating the market environment as a controlled laboratory setting, we examine variables such as currency fluctuation, regulatory strictness under FINMA (Swiss Financial Market Supervisory Authority), and the unique cultural nuances that define professional conduct in Zurich.</w:t>
      </w:r>
    </w:p>
    <w:p>
      <w:pPr>
        <w:pStyle w:val="BodyText"/>
      </w:pPr>
      <w:r>
        <w:t xml:space="preserve">The findings indicate that the role of the</w:t>
      </w:r>
      <w:r>
        <w:t xml:space="preserve"> </w:t>
      </w:r>
      <w:r>
        <w:rPr>
          <w:bCs/>
          <w:b/>
        </w:rPr>
        <w:t xml:space="preserve">Financial Analyst</w:t>
      </w:r>
      <w:r>
        <w:t xml:space="preserve"> </w:t>
      </w:r>
      <w:r>
        <w:t xml:space="preserve">in this region is not merely computational but deeply strategic. The integration of Swiss stability with global volatility requires a specialized approach to risk assessment and capital allocation. This report explores these dynamics to provide a clear understanding of the efficacy and challenges inherent in this professional domain.</w:t>
      </w:r>
    </w:p>
    <w:bookmarkEnd w:id="20"/>
    <w:bookmarkStart w:id="21" w:name="introduction-and-scope"/>
    <w:p>
      <w:pPr>
        <w:pStyle w:val="Heading2"/>
      </w:pPr>
      <w:r>
        <w:t xml:space="preserve">2. Introduction and Scope</w:t>
      </w:r>
    </w:p>
    <w:p>
      <w:pPr>
        <w:pStyle w:val="FirstParagraph"/>
      </w:pPr>
      <w:r>
        <w:t xml:space="preserve">The city of Zurich stands as the financial heart of Switzerland, often referred to as "Bankenviertel" (the bank district). For a Financial Analyst operating here, the environment is characterized by high precision, discretion, and rigorous adherence to international standards. This laboratory report aims to deconstruct these elements.</w:t>
      </w:r>
    </w:p>
    <w:p>
      <w:pPr>
        <w:pStyle w:val="BodyText"/>
      </w:pPr>
      <w:r>
        <w:rPr>
          <w:bCs/>
          <w:b/>
        </w:rPr>
        <w:t xml:space="preserve">Switzerland Zurich</w:t>
      </w:r>
      <w:r>
        <w:t xml:space="preserve"> </w:t>
      </w:r>
      <w:r>
        <w:t xml:space="preserve">presents a unique paradox: it is both a safe haven for capital preservation and a dynamic center for wealth management innovation. The scope of this report covers:</w:t>
      </w:r>
    </w:p>
    <w:p>
      <w:pPr>
        <w:numPr>
          <w:ilvl w:val="0"/>
          <w:numId w:val="1001"/>
        </w:numPr>
        <w:pStyle w:val="Compact"/>
      </w:pPr>
      <w:r>
        <w:t xml:space="preserve">The regulatory landscape governing financial activities in the canton of Zurich.</w:t>
      </w:r>
    </w:p>
    <w:p>
      <w:pPr>
        <w:numPr>
          <w:ilvl w:val="0"/>
          <w:numId w:val="1001"/>
        </w:numPr>
        <w:pStyle w:val="Compact"/>
      </w:pPr>
      <w:r>
        <w:t xml:space="preserve">The methodological tools used by Financial Analysts to navigate Swiss markets.</w:t>
      </w:r>
    </w:p>
    <w:p>
      <w:pPr>
        <w:numPr>
          <w:ilvl w:val="0"/>
          <w:numId w:val="1001"/>
        </w:numPr>
        <w:pStyle w:val="Compact"/>
      </w:pPr>
      <w:r>
        <w:t xml:space="preserve">An analysis of case studies regarding cross-border investment structures.</w:t>
      </w:r>
    </w:p>
    <w:p>
      <w:pPr>
        <w:pStyle w:val="FirstParagraph"/>
      </w:pPr>
      <w:r>
        <w:t xml:space="preserve">All observations and data interpretations within this laboratory report are strictly contextualized to the economic realities of Switzerland Zurich. Deviations from local norms or failure to account for the specific legal framework of Swiss law render any financial analysis incomplete.</w:t>
      </w:r>
    </w:p>
    <w:bookmarkEnd w:id="21"/>
    <w:bookmarkStart w:id="24" w:name="Xe68974dd3917796349a0898c0b2cb5b7fbc3e2a"/>
    <w:p>
      <w:pPr>
        <w:pStyle w:val="Heading2"/>
      </w:pPr>
      <w:r>
        <w:t xml:space="preserve">3. Methodology: The Financial Analyst as a Scientist</w:t>
      </w:r>
    </w:p>
    <w:p>
      <w:pPr>
        <w:pStyle w:val="FirstParagraph"/>
      </w:pPr>
      <w:r>
        <w:t xml:space="preserve">In this laboratory report, we adopt a scientific methodology to evaluate the performance and decision-making processes of a Financial Analyst. Just as a chemist mixes reagents to observe reactions, an analyst combines macroeconomic data, micro-financial metrics, and geopolitical indicators to forecast outcomes.</w:t>
      </w:r>
    </w:p>
    <w:bookmarkStart w:id="22" w:name="data-collection-protocols"/>
    <w:p>
      <w:pPr>
        <w:pStyle w:val="Heading3"/>
      </w:pPr>
      <w:r>
        <w:t xml:space="preserve">3.1 Data Collection Protocols</w:t>
      </w:r>
    </w:p>
    <w:p>
      <w:pPr>
        <w:pStyle w:val="FirstParagraph"/>
      </w:pPr>
      <w:r>
        <w:t xml:space="preserve">Data acquisition in Switzerland Zurich is highly regulated due to strict banking secrecy laws (though significantly relaxed compared to previous decades, privacy remains paramount). Financial Analysts must rely on publicly available data from the SIX Swiss Exchange and official statistics from the Federal Statistical Office (FSO). Private data handling requires explicit consent and compliance with the Swiss Federal Act on Data Protection (FADP).</w:t>
      </w:r>
    </w:p>
    <w:bookmarkEnd w:id="22"/>
    <w:bookmarkStart w:id="23" w:name="variable-control"/>
    <w:p>
      <w:pPr>
        <w:pStyle w:val="Heading3"/>
      </w:pPr>
      <w:r>
        <w:t xml:space="preserve">3.2 Variable Control</w:t>
      </w:r>
    </w:p>
    <w:p>
      <w:pPr>
        <w:pStyle w:val="FirstParagraph"/>
      </w:pPr>
      <w:r>
        <w:t xml:space="preserve">The primary variable in any Zurich-based analysis is the Swiss Franc (CHF). As a global safe-haven currency, its strength often inversely correlates with risk appetite globally. The Financial Analyst must control for exchange rate volatility when analyzing equity positions or foreign debt obligations. Failure to isolate this variable can lead to significant discrepancies in return on investment (ROI) calculations.</w:t>
      </w:r>
    </w:p>
    <w:bookmarkEnd w:id="23"/>
    <w:bookmarkEnd w:id="24"/>
    <w:bookmarkStart w:id="28" w:name="analysis-of-key-variables"/>
    <w:p>
      <w:pPr>
        <w:pStyle w:val="Heading2"/>
      </w:pPr>
      <w:r>
        <w:t xml:space="preserve">4. Analysis of Key Variables</w:t>
      </w:r>
    </w:p>
    <w:bookmarkStart w:id="25" w:name="X8e576f55fc1f95d66bf6e1cd52276353ee4a3b1"/>
    <w:p>
      <w:pPr>
        <w:pStyle w:val="Heading3"/>
      </w:pPr>
      <w:r>
        <w:t xml:space="preserve">4.1 Regulatory Environment: FINMA and Compliance</w:t>
      </w:r>
    </w:p>
    <w:p>
      <w:pPr>
        <w:pStyle w:val="FirstParagraph"/>
      </w:pPr>
      <w:r>
        <w:t xml:space="preserve">The Swiss Financial Market Supervisory Authority (FINMA) operates with a level of rigor that defines the operational boundaries for every Financial Analyst in Switzerland Zurich. This laboratory report identifies compliance not as an administrative hurdle, but as a core component of financial analysis.</w:t>
      </w:r>
    </w:p>
    <w:p>
      <w:pPr>
        <w:pStyle w:val="BodyText"/>
      </w:pPr>
      <w:r>
        <w:t xml:space="preserve">Key regulatory pillars include:</w:t>
      </w:r>
    </w:p>
    <w:p>
      <w:pPr>
        <w:numPr>
          <w:ilvl w:val="0"/>
          <w:numId w:val="1002"/>
        </w:numPr>
        <w:pStyle w:val="Compact"/>
      </w:pPr>
      <w:r>
        <w:rPr>
          <w:bCs/>
          <w:b/>
        </w:rPr>
        <w:t xml:space="preserve">Anti-Money Laundering (AML):</w:t>
      </w:r>
      <w:r>
        <w:t xml:space="preserve"> </w:t>
      </w:r>
      <w:r>
        <w:t xml:space="preserve">Strict due diligence is required. Analysts must verify the source of funds, ensuring that no capital originates from illicit activities. This process adds a layer of time and cost to transactions.</w:t>
      </w:r>
    </w:p>
    <w:p>
      <w:pPr>
        <w:numPr>
          <w:ilvl w:val="0"/>
          <w:numId w:val="1002"/>
        </w:numPr>
        <w:pStyle w:val="Compact"/>
      </w:pPr>
      <w:r>
        <w:rPr>
          <w:bCs/>
          <w:b/>
        </w:rPr>
        <w:t xml:space="preserve">Know Your Customer (KYC):</w:t>
      </w:r>
      <w:r>
        <w:t xml:space="preserve"> </w:t>
      </w:r>
      <w:r>
        <w:t xml:space="preserve">In Zurich, KYC protocols are exhaustive. Analysts spend significant time verifying client identities and beneficial ownership structures.</w:t>
      </w:r>
    </w:p>
    <w:bookmarkEnd w:id="25"/>
    <w:bookmarkStart w:id="26" w:name="market-dynamics-in-switzerland-zurich"/>
    <w:p>
      <w:pPr>
        <w:pStyle w:val="Heading3"/>
      </w:pPr>
      <w:r>
        <w:t xml:space="preserve">4.2 Market Dynamics in Switzerland Zurich</w:t>
      </w:r>
    </w:p>
    <w:p>
      <w:pPr>
        <w:pStyle w:val="FirstParagraph"/>
      </w:pPr>
      <w:r>
        <w:t xml:space="preserve">The equity market in Zurich is dominated by large-cap companies such as Nestlé, Novartis, and Roche. For a Financial Analyst, these entities represent low-beta investments—stable but with limited explosive growth potential. Consequently, the analyst’s role shifts from pure growth hunting to yield optimization and dividend reinvestment strategies.</w:t>
      </w:r>
    </w:p>
    <w:p>
      <w:pPr>
        <w:pStyle w:val="BodyText"/>
      </w:pPr>
      <w:r>
        <w:t xml:space="preserve">Furthermore, the bond market in Switzerland is robust. Government bonds issued by the Confederation are considered virtually risk-free. Financial Analysts utilize these instruments as benchmarks for discounting future cash flows, ensuring that valuations reflect the low-risk environment of Switzerland Zurich.</w:t>
      </w:r>
    </w:p>
    <w:bookmarkEnd w:id="26"/>
    <w:bookmarkStart w:id="27" w:name="cultural-impact-on-financial-decisions"/>
    <w:p>
      <w:pPr>
        <w:pStyle w:val="Heading3"/>
      </w:pPr>
      <w:r>
        <w:t xml:space="preserve">4.3 Cultural Impact on Financial Decisions</w:t>
      </w:r>
    </w:p>
    <w:p>
      <w:pPr>
        <w:pStyle w:val="FirstParagraph"/>
      </w:pPr>
      <w:r>
        <w:t xml:space="preserve">A critical variable often overlooked in traditional financial models is culture. In Switzerland Zurich, business culture emphasizes long-term stability over short-term gains. This cultural nuance influences how Financial Analysts structure portfolios. Aggressive leverage is viewed with suspicion, and conservative risk management is rewarded. A laboratory analysis of client feedback in this region reveals that trust and reputation are more valuable assets than high-risk returns.</w:t>
      </w:r>
    </w:p>
    <w:bookmarkEnd w:id="27"/>
    <w:bookmarkEnd w:id="28"/>
    <w:bookmarkStart w:id="29" w:name="Xa63d0e2ef079938627797befef972b05a380aee"/>
    <w:p>
      <w:pPr>
        <w:pStyle w:val="Heading2"/>
      </w:pPr>
      <w:r>
        <w:t xml:space="preserve">5. Case Study: Cross-Border Portfolio Management</w:t>
      </w:r>
    </w:p>
    <w:p>
      <w:pPr>
        <w:pStyle w:val="FirstParagraph"/>
      </w:pPr>
      <w:r>
        <w:t xml:space="preserve">To illustrate the practical application of these principles, we examine a hypothetical case study conducted within this laboratory report framework. A Swiss institutional investor based in Zurich seeks to diversify holdings into emerging markets while maintaining liquidity and compliance.</w:t>
      </w:r>
    </w:p>
    <w:p>
      <w:pPr>
        <w:pStyle w:val="BodyText"/>
      </w:pPr>
      <w:r>
        <w:t xml:space="preserve">Metric</w:t>
      </w:r>
    </w:p>
    <w:p>
      <w:pPr>
        <w:pStyle w:val="BodyText"/>
      </w:pPr>
      <w:r>
        <w:t xml:space="preserve">Pre-Analysis (Default)</w:t>
      </w:r>
    </w:p>
    <w:p>
      <w:pPr>
        <w:pStyle w:val="BodyText"/>
      </w:pPr>
      <w:r>
        <w:t xml:space="preserve">Analyzed Strategy (Swiss Context)</w:t>
      </w:r>
    </w:p>
    <w:p>
      <w:pPr>
        <w:pStyle w:val="BodyText"/>
      </w:pPr>
      <w:r>
        <w:t xml:space="preserve">Risk Tolerance</w:t>
      </w:r>
    </w:p>
    <w:p>
      <w:pPr>
        <w:pStyle w:val="BodyText"/>
      </w:pPr>
      <w:r>
        <w:t xml:space="preserve">Moderate</w:t>
      </w:r>
    </w:p>
    <w:p>
      <w:pPr>
        <w:pStyle w:val="BodyText"/>
      </w:pPr>
      <w:r>
        <w:t xml:space="preserve">Conservative-Low Volatility Focus</w:t>
      </w:r>
    </w:p>
    <w:p>
      <w:pPr>
        <w:pStyle w:val="BodyText"/>
      </w:pPr>
      <w:r>
        <w:rPr>
          <w:bCs/>
          <w:b/>
        </w:rPr>
        <w:t xml:space="preserve">Currency Hedge Requirement:</w:t>
      </w:r>
    </w:p>
    <w:p>
      <w:pPr>
        <w:pStyle w:val="BodyText"/>
      </w:pPr>
      <w:r>
        <w:t xml:space="preserve">A Financial Analyst in Switzerland Zurich must assume that the majority of client assets are denominated in CHF. If the USD weakens against the CHF, returns on US assets diminish. Therefore, hedging strategies become mandatory rather than optional.</w:t>
      </w:r>
    </w:p>
    <w:p>
      <w:pPr>
        <w:pStyle w:val="BodyText"/>
      </w:pPr>
      <w:r>
        <w:t xml:space="preserve">Action Item</w:t>
      </w:r>
    </w:p>
    <w:p>
      <w:pPr>
        <w:pStyle w:val="BodyText"/>
      </w:pPr>
      <w:r>
        <w:t xml:space="preserve">Rationale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Financial Analyst Operations in Switzerland Zurich</dc:title>
  <dc:creator/>
  <dc:language>en</dc:language>
  <cp:keywords/>
  <dcterms:created xsi:type="dcterms:W3CDTF">2026-07-29T14:26:15Z</dcterms:created>
  <dcterms:modified xsi:type="dcterms:W3CDTF">2026-07-29T14:26:15Z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