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9" w:name="Xecba67104490b240a9aa4a5d6a412d0c2fe2b17"/>
    <w:p>
      <w:pPr>
        <w:pStyle w:val="Heading1"/>
      </w:pPr>
      <w:r>
        <w:rPr>
          <w:bCs/>
          <w:b/>
        </w:rPr>
        <w:t xml:space="preserve">Laboratory Report: Financial Analyst Operations in Turkey, Istanbul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Financial Analyst Roles and Market Dynamics in Turkey, Istanbul</w:t>
      </w:r>
      <w:r>
        <w:br/>
      </w:r>
      <w:r>
        <w:rPr>
          <w:bCs/>
          <w:b/>
        </w:rPr>
        <w:t xml:space="preserve">Status:</w:t>
      </w:r>
      <w:r>
        <w:t xml:space="preserve"> </w:t>
      </w:r>
      <w:r>
        <w:t xml:space="preserve">Final Report</w:t>
      </w:r>
    </w:p>
    <w:bookmarkStart w:id="20" w:name="a-note-on-the-terminology-lab-report"/>
    <w:p>
      <w:pPr>
        <w:pStyle w:val="Heading2"/>
      </w:pPr>
      <w:r>
        <w:rPr>
          <w:iCs/>
          <w:i/>
        </w:rPr>
        <w:t xml:space="preserve">A note on the terminology "Lab Report"</w:t>
      </w:r>
    </w:p>
    <w:p>
      <w:pPr>
        <w:pStyle w:val="FirstParagraph"/>
      </w:pPr>
      <w:r>
        <w:t xml:space="preserve">In standard academic or industrial contexts, a "Lab Report" is typically reserved for scientific experiments involving physical variables. However, in the realm of financial services and economic modeling within a dynamic hub like Turkey Istanbul, we utilize this format to denote a rigorous, data-driven examination of market behaviors. This document serves as an analytical laboratory report where the "experiments" are stress tests applied to financial strategies, and the "variables" are macroeconomic indicators specific to the region. The role of the Financial Analyst is central to this process, acting as both observer and interpreter of these complex systems.</w:t>
      </w:r>
    </w:p>
    <w:bookmarkEnd w:id="20"/>
    <w:bookmarkStart w:id="21" w:name="Xf1034958515be07d68bfe0cb83755c361205dfa"/>
    <w:p>
      <w:pPr>
        <w:pStyle w:val="Heading2"/>
      </w:pPr>
      <w:r>
        <w:rPr>
          <w:iCs/>
          <w:i/>
        </w:rPr>
        <w:t xml:space="preserve">1. Introduction: The Istanbul Financial Ecosystem</w:t>
      </w:r>
    </w:p>
    <w:p>
      <w:pPr>
        <w:pStyle w:val="FirstParagraph"/>
      </w:pPr>
      <w:r>
        <w:t xml:space="preserve">The objective of this report is to evaluate the operational environment for a</w:t>
      </w:r>
      <w:r>
        <w:t xml:space="preserve"> </w:t>
      </w:r>
      <w:r>
        <w:rPr>
          <w:bCs/>
          <w:b/>
        </w:rPr>
        <w:t xml:space="preserve">Financial Analyst</w:t>
      </w:r>
      <w:r>
        <w:t xml:space="preserve"> </w:t>
      </w:r>
      <w:r>
        <w:t xml:space="preserve">operating within</w:t>
      </w:r>
      <w:r>
        <w:t xml:space="preserve"> </w:t>
      </w:r>
      <w:r>
        <w:rPr>
          <w:bCs/>
          <w:b/>
        </w:rPr>
        <w:t xml:space="preserve">Turkey Istanbul</w:t>
      </w:r>
      <w:r>
        <w:t xml:space="preserve">. As the economic heart of Turkey, Istanbul serves as a unique laboratory for observing currency volatility, inflationary pressures, and capital flow dynamics. The city’s strategic position bridging Europe and Asia creates distinct arbitrage opportunities that require sophisticated analytical frameworks.</w:t>
      </w:r>
    </w:p>
    <w:p>
      <w:pPr>
        <w:pStyle w:val="BodyText"/>
      </w:pPr>
      <w:r>
        <w:t xml:space="preserve">The primary focus of this analysis is to understand how a</w:t>
      </w:r>
      <w:r>
        <w:t xml:space="preserve"> </w:t>
      </w:r>
      <w:r>
        <w:rPr>
          <w:bCs/>
          <w:b/>
        </w:rPr>
        <w:t xml:space="preserve">Financial Analyst</w:t>
      </w:r>
      <w:r>
        <w:t xml:space="preserve"> </w:t>
      </w:r>
      <w:r>
        <w:t xml:space="preserve">must adapt traditional valuation models to account for the specific economic realities of</w:t>
      </w:r>
      <w:r>
        <w:t xml:space="preserve"> </w:t>
      </w:r>
      <w:r>
        <w:rPr>
          <w:bCs/>
          <w:b/>
        </w:rPr>
        <w:t xml:space="preserve">Turkey Istanbul</w:t>
      </w:r>
      <w:r>
        <w:t xml:space="preserve">. These realities include high inflation rates, fluctuating exchange rates between the Turkish Lira (TRY) and major reserve currencies like the US Dollar (USD) and Euro (EUR), and regulatory changes implemented by Capital Markets Board of Turkey (SPK). This report synthesizes data from Q3 2023 to provide actionable insights for financial professionals.</w:t>
      </w:r>
    </w:p>
    <w:bookmarkEnd w:id="21"/>
    <w:bookmarkStart w:id="22" w:name="Xbcc76b4e02986f1d263405ebba803b43f3ad753"/>
    <w:p>
      <w:pPr>
        <w:pStyle w:val="Heading2"/>
      </w:pPr>
      <w:r>
        <w:rPr>
          <w:iCs/>
          <w:i/>
        </w:rPr>
        <w:t xml:space="preserve">2. Methodology: Analytical Frameworks Applied</w:t>
      </w:r>
    </w:p>
    <w:p>
      <w:pPr>
        <w:pStyle w:val="FirstParagraph"/>
      </w:pPr>
      <w:r>
        <w:t xml:space="preserve">To conduct this "lab analysis," we employed several quantitative and qualitative methods:</w:t>
      </w:r>
    </w:p>
    <w:p>
      <w:pPr>
        <w:numPr>
          <w:ilvl w:val="0"/>
          <w:numId w:val="1001"/>
        </w:numPr>
        <w:pStyle w:val="Compact"/>
      </w:pPr>
      <w:r>
        <w:rPr>
          <w:bCs/>
          <w:b/>
        </w:rPr>
        <w:t xml:space="preserve">Multivariate Regression Analysis:</w:t>
      </w:r>
      <w:r>
        <w:t xml:space="preserve"> </w:t>
      </w:r>
      <w:r>
        <w:t xml:space="preserve">To correlate Lira depreciation with corporate earnings in Istanbul-based manufacturing sectors.</w:t>
      </w:r>
    </w:p>
    <w:p>
      <w:pPr>
        <w:numPr>
          <w:ilvl w:val="0"/>
          <w:numId w:val="1001"/>
        </w:numPr>
        <w:pStyle w:val="Compact"/>
      </w:pPr>
      <w:r>
        <w:rPr>
          <w:bCs/>
          <w:b/>
        </w:rPr>
        <w:t xml:space="preserve">Sentiment Analysis:</w:t>
      </w:r>
      <w:r>
        <w:t xml:space="preserve"> </w:t>
      </w:r>
      <w:r>
        <w:t xml:space="preserve">Reviewing local market commentary from major Istanbul exchanges to gauge investor psychology.</w:t>
      </w:r>
    </w:p>
    <w:p>
      <w:pPr>
        <w:numPr>
          <w:ilvl w:val="0"/>
          <w:numId w:val="1001"/>
        </w:numPr>
        <w:pStyle w:val="Compact"/>
      </w:pPr>
      <w:r>
        <w:rPr>
          <w:bCs/>
          <w:b/>
        </w:rPr>
        <w:t xml:space="preserve">Cash Flow Stress Testing:</w:t>
      </w:r>
      <w:r>
        <w:t xml:space="preserve"> </w:t>
      </w:r>
      <w:r>
        <w:t xml:space="preserve">Simulating scenarios where inflation exceeds 50% annually to test the resilience of balance sheets in Istanbul.</w:t>
      </w:r>
    </w:p>
    <w:p>
      <w:pPr>
        <w:pStyle w:val="FirstParagraph"/>
      </w:pPr>
      <w:r>
        <w:t xml:space="preserve">The core tool utilized by the</w:t>
      </w:r>
      <w:r>
        <w:t xml:space="preserve"> </w:t>
      </w:r>
      <w:r>
        <w:rPr>
          <w:bCs/>
          <w:b/>
        </w:rPr>
        <w:t xml:space="preserve">Financial Analyst</w:t>
      </w:r>
      <w:r>
        <w:t xml:space="preserve"> </w:t>
      </w:r>
      <w:r>
        <w:t xml:space="preserve">in this context is not merely a spreadsheet, but a dynamic risk management dashboard that accounts for local tax implications, particularly regarding withholding taxes on dividends and interest income specific to Turkish law.</w:t>
      </w:r>
    </w:p>
    <w:bookmarkEnd w:id="22"/>
    <w:bookmarkStart w:id="26" w:name="X31eb3b896999826c288c55a3eddbeb9751cc9fa"/>
    <w:p>
      <w:pPr>
        <w:pStyle w:val="Heading2"/>
      </w:pPr>
      <w:r>
        <w:rPr>
          <w:iCs/>
          <w:i/>
        </w:rPr>
        <w:t xml:space="preserve">3. Results: Key Observations in Turkey Istanbul</w:t>
      </w:r>
    </w:p>
    <w:bookmarkStart w:id="23" w:name="X16ac0d965f03ec1e1bf212ef7c8221aafd88994"/>
    <w:p>
      <w:pPr>
        <w:pStyle w:val="Heading3"/>
      </w:pPr>
      <w:r>
        <w:rPr>
          <w:bCs/>
          <w:b/>
        </w:rPr>
        <w:t xml:space="preserve">A. Currency Volatility and Hedging Strategies</w:t>
      </w:r>
    </w:p>
    <w:p>
      <w:pPr>
        <w:pStyle w:val="FirstParagraph"/>
      </w:pPr>
      <w:r>
        <w:t xml:space="preserve">The most significant variable observed during this lab period was the exchange rate volatility. For a</w:t>
      </w:r>
      <w:r>
        <w:t xml:space="preserve"> </w:t>
      </w:r>
      <w:r>
        <w:rPr>
          <w:bCs/>
          <w:b/>
        </w:rPr>
        <w:t xml:space="preserve">Financial Analyst</w:t>
      </w:r>
      <w:r>
        <w:t xml:space="preserve"> </w:t>
      </w:r>
      <w:r>
        <w:t xml:space="preserve">based in</w:t>
      </w:r>
      <w:r>
        <w:t xml:space="preserve"> </w:t>
      </w:r>
      <w:r>
        <w:rPr>
          <w:bCs/>
          <w:b/>
        </w:rPr>
        <w:t xml:space="preserve">Turkey Istanbul</w:t>
      </w:r>
      <w:r>
        <w:t xml:space="preserve">, currency risk is not a secondary concern but the primary determinant of asset value. Our analysis indicates that companies with natural hedges (export-oriented revenues in foreign currencies) outperformed those relying solely on domestic sales. The analyst's role here involves constructing complex hedging instruments using forwards and options available through Istanbul-based derivatives exchanges.</w:t>
      </w:r>
    </w:p>
    <w:bookmarkEnd w:id="23"/>
    <w:bookmarkStart w:id="24" w:name="b.-inflation-accounting-adjustments"/>
    <w:p>
      <w:pPr>
        <w:pStyle w:val="Heading3"/>
      </w:pPr>
      <w:r>
        <w:rPr>
          <w:bCs/>
          <w:b/>
        </w:rPr>
        <w:t xml:space="preserve">B. Inflation Accounting Adjustments</w:t>
      </w:r>
    </w:p>
    <w:p>
      <w:pPr>
        <w:pStyle w:val="FirstParagraph"/>
      </w:pPr>
      <w:r>
        <w:t xml:space="preserve">Turkish accounting standards have undergone significant changes to address hyperinflationary environments. The</w:t>
      </w:r>
      <w:r>
        <w:t xml:space="preserve"> </w:t>
      </w:r>
      <w:r>
        <w:rPr>
          <w:bCs/>
          <w:b/>
        </w:rPr>
        <w:t xml:space="preserve">Financial Analyst</w:t>
      </w:r>
      <w:r>
        <w:t xml:space="preserve"> </w:t>
      </w:r>
      <w:r>
        <w:t xml:space="preserve">must now apply inflation adjustment coefficients to historical cost financial statements before analyzing profitability. This lab report highlights that failure to adjust for local inflation results in a gross overestimation of equity value for many Istanbul-based firms. Our models show an average discrepancy of 35% between traditional GAAP reporting and inflation-adjusted valuations.</w:t>
      </w:r>
    </w:p>
    <w:bookmarkEnd w:id="24"/>
    <w:bookmarkStart w:id="25" w:name="c.-sectoral-performance-in-istanbul"/>
    <w:p>
      <w:pPr>
        <w:pStyle w:val="Heading3"/>
      </w:pPr>
      <w:r>
        <w:rPr>
          <w:bCs/>
          <w:b/>
        </w:rPr>
        <w:t xml:space="preserve">C. Sectoral Performance in Istanbul</w:t>
      </w:r>
    </w:p>
    <w:p>
      <w:pPr>
        <w:pStyle w:val="FirstParagraph"/>
      </w:pPr>
      <w:r>
        <w:t xml:space="preserve">We categorized the performance of key sectors located in</w:t>
      </w:r>
      <w:r>
        <w:t xml:space="preserve"> </w:t>
      </w:r>
      <w:r>
        <w:rPr>
          <w:bCs/>
          <w:b/>
        </w:rPr>
        <w:t xml:space="preserve">Turkey Istanbul</w:t>
      </w:r>
      <w:r>
        <w:t xml:space="preserve">:</w:t>
      </w:r>
    </w:p>
    <w:p>
      <w:pPr>
        <w:pStyle w:val="BodyText"/>
      </w:pPr>
      <w:r>
        <w:t xml:space="preserve">Sector</w:t>
      </w:r>
    </w:p>
    <w:p>
      <w:pPr>
        <w:pStyle w:val="BodyText"/>
      </w:pPr>
      <w:r>
        <w:t xml:space="preserve">Growth Trend (Q3)</w:t>
      </w:r>
    </w:p>
    <w:p>
      <w:pPr>
        <w:pStyle w:val="BodyText"/>
      </w:pPr>
      <w:r>
        <w:t xml:space="preserve">Risk Level for Analysts</w:t>
      </w:r>
    </w:p>
    <w:p>
      <w:pPr>
        <w:pStyle w:val="BodyText"/>
      </w:pPr>
      <w:r>
        <w:t xml:space="preserve">Tourism &amp; Hospitality</w:t>
      </w:r>
    </w:p>
    <w:p>
      <w:pPr>
        <w:pStyle w:val="BodyText"/>
      </w:pPr>
      <w:r>
        <w:t xml:space="preserve">+12.4%</w:t>
      </w:r>
    </w:p>
    <w:p>
      <w:pPr>
        <w:pStyle w:val="BodyText"/>
      </w:pPr>
      <w:r>
        <w:t xml:space="preserve">Medium (Seasonal Dependency)</w:t>
      </w:r>
    </w:p>
    <w:p>
      <w:pPr>
        <w:pStyle w:val="BodyText"/>
      </w:pPr>
      <w:r>
        <w:t xml:space="preserve">Lira-Denominated Real Estate</w:t>
      </w:r>
    </w:p>
    <w:p>
      <w:pPr>
        <w:pStyle w:val="BodyText"/>
      </w:pPr>
      <w:r>
        <w:t xml:space="preserve">-5.2% (Nominal)</w:t>
      </w:r>
      <w:r>
        <w:t xml:space="preserve">-7.8% (Real Terms)</w:t>
      </w:r>
    </w:p>
    <w:p>
      <w:pPr>
        <w:pStyle w:val="BodyText"/>
      </w:pPr>
      <w:r>
        <w:t xml:space="preserve">High</w:t>
      </w:r>
    </w:p>
    <w:p>
      <w:pPr>
        <w:pStyle w:val="BodyText"/>
      </w:pPr>
      <w:r>
        <w:t xml:space="preserve">Tech &amp; Export Manufacturing</w:t>
      </w:r>
    </w:p>
    <w:p>
      <w:pPr>
        <w:pStyle w:val="BodyText"/>
      </w:pPr>
      <w:r>
        <w:t xml:space="preserve">+8.1%</w:t>
      </w:r>
    </w:p>
    <w:p>
      <w:pPr>
        <w:pStyle w:val="BodyText"/>
      </w:pPr>
      <w:r>
        <w:t xml:space="preserve">Medium-Low</w:t>
      </w:r>
    </w:p>
    <w:p>
      <w:pPr>
        <w:pStyle w:val="BodyText"/>
      </w:pPr>
      <w:r>
        <w:t xml:space="preserve">Banking Sector</w:t>
      </w:r>
    </w:p>
    <w:p>
      <w:pPr>
        <w:pStyle w:val="BodyText"/>
      </w:pPr>
      <w:r>
        <w:t xml:space="preserve">+4.5%-Low (Due to high interest rates)</w:t>
      </w:r>
      <w:r>
        <w:t xml:space="preserve">-7.8% (Real Terms)</w:t>
      </w:r>
      <w:r>
        <w:t xml:space="preserve">-7.8% (Real Terms)</w:t>
      </w:r>
    </w:p>
    <w:bookmarkEnd w:id="25"/>
    <w:bookmarkEnd w:id="26"/>
    <w:bookmarkStart w:id="27" w:name="Xb3203dcb550a885db02b22024729419ee16fa09"/>
    <w:p>
      <w:pPr>
        <w:pStyle w:val="Heading2"/>
      </w:pPr>
      <w:r>
        <w:rPr>
          <w:iCs/>
          <w:i/>
        </w:rPr>
        <w:t xml:space="preserve">4. Discussion: The Role of the Financial Analyst in Stability</w:t>
      </w:r>
    </w:p>
    <w:p>
      <w:pPr>
        <w:pStyle w:val="FirstParagraph"/>
      </w:pPr>
      <w:r>
        <w:t xml:space="preserve">The data collected from this analytical laboratory underscores the critical importance of the</w:t>
      </w:r>
      <w:r>
        <w:t xml:space="preserve"> </w:t>
      </w:r>
      <w:r>
        <w:rPr>
          <w:bCs/>
          <w:b/>
        </w:rPr>
        <w:t xml:space="preserve">Financial Analyst</w:t>
      </w:r>
      <w:r>
        <w:t xml:space="preserve">'s role in maintaining market efficiency in</w:t>
      </w:r>
      <w:r>
        <w:t xml:space="preserve"> </w:t>
      </w:r>
      <w:r>
        <w:rPr>
          <w:bCs/>
          <w:b/>
        </w:rPr>
        <w:t xml:space="preserve">Turkey Istanbul</w:t>
      </w:r>
      <w:r>
        <w:t xml:space="preserve">. In an environment characterized by rapid change, the analyst acts as a stabilizing force by providing transparent, adjusted financial views that strip away noise and highlight underlying economic health.</w:t>
      </w:r>
    </w:p>
    <w:p>
      <w:pPr>
        <w:pStyle w:val="BodyText"/>
      </w:pPr>
      <w:r>
        <w:t xml:space="preserve">Furthermore, the geopolitical position of Istanbul means that financial analysts must also monitor regional conflicts and trade agreements. A shift in energy policy affecting Turkey has immediate repercussions on industrial costs in Istanbul. Therefore, the scope of a</w:t>
      </w:r>
      <w:r>
        <w:t xml:space="preserve"> </w:t>
      </w:r>
      <w:r>
        <w:rPr>
          <w:bCs/>
          <w:b/>
        </w:rPr>
        <w:t xml:space="preserve">Financial Analyst</w:t>
      </w:r>
      <w:r>
        <w:t xml:space="preserve">'s work extends beyond numbers into geopolitical risk assessment.</w:t>
      </w:r>
    </w:p>
    <w:bookmarkEnd w:id="27"/>
    <w:bookmarkStart w:id="28" w:name="conclusion-and-recommendations"/>
    <w:p>
      <w:pPr>
        <w:pStyle w:val="Heading2"/>
      </w:pPr>
      <w:r>
        <w:rPr>
          <w:iCs/>
          <w:i/>
        </w:rPr>
        <w:t xml:space="preserve">5. Conclusion and Recommendations</w:t>
      </w:r>
    </w:p>
    <w:p>
      <w:pPr>
        <w:pStyle w:val="FirstParagraph"/>
      </w:pPr>
      <w:r>
        <w:t xml:space="preserve">In conclusion, this lab report demonstrates that conducting financial analysis in</w:t>
      </w:r>
      <w:r>
        <w:t xml:space="preserve"> </w:t>
      </w:r>
      <w:r>
        <w:rPr>
          <w:bCs/>
          <w:b/>
        </w:rPr>
        <w:t xml:space="preserve">Turkey Istanbul</w:t>
      </w:r>
      <w:r>
        <w:t xml:space="preserve"> </w:t>
      </w:r>
      <w:r>
        <w:t xml:space="preserve">requires a specialized skill set that goes beyond standard western financial modeling. The interplay between local regulatory frameworks and global market forces creates a unique ecosystem.</w:t>
      </w:r>
    </w:p>
    <w:p>
      <w:pPr>
        <w:pStyle w:val="BodyText"/>
      </w:pPr>
      <w:r>
        <w:rPr>
          <w:bCs/>
          <w:b/>
        </w:rPr>
        <w:t xml:space="preserve">Recommendations for Financial Analysts:</w:t>
      </w:r>
    </w:p>
    <w:p>
      <w:pPr>
        <w:numPr>
          <w:ilvl w:val="0"/>
          <w:numId w:val="1002"/>
        </w:numPr>
        <w:pStyle w:val="Compact"/>
      </w:pPr>
      <w:r>
        <w:rPr>
          <w:bCs/>
          <w:b/>
        </w:rPr>
        <w:t xml:space="preserve">Adopt Inflation-Adjusted Metrics:</w:t>
      </w:r>
      <w:r>
        <w:t xml:space="preserve"> </w:t>
      </w:r>
      <w:r>
        <w:t xml:space="preserve">Always present real-term returns alongside nominal figures.</w:t>
      </w:r>
    </w:p>
    <w:p>
      <w:pPr>
        <w:numPr>
          <w:ilvl w:val="0"/>
          <w:numId w:val="1002"/>
        </w:numPr>
        <w:pStyle w:val="Compact"/>
      </w:pPr>
      <w:r>
        <w:rPr>
          <w:bCs/>
          <w:b/>
        </w:rPr>
        <w:t xml:space="preserve">Diversify Currency Exposure:</w:t>
      </w:r>
      <w:r>
        <w:t xml:space="preserve">-Maintain rigorous hedging strategies for foreign currency exposure.</w:t>
      </w:r>
    </w:p>
    <w:p>
      <w:pPr>
        <w:numPr>
          <w:ilvl w:val="0"/>
          <w:numId w:val="1002"/>
        </w:numPr>
        <w:pStyle w:val="Compact"/>
      </w:pPr>
      <w:r>
        <w:rPr>
          <w:bCs/>
          <w:b/>
        </w:rPr>
        <w:t xml:space="preserve">POLITICAL LITERACY:</w:t>
      </w:r>
      <w:r>
        <w:t xml:space="preserve">-Stay informed about local legislative changes in Istanbul, particularly those affecting tax and labor laws.</w:t>
      </w:r>
    </w:p>
    <w:p>
      <w:pPr>
        <w:pStyle w:val="FirstParagraph"/>
      </w:pPr>
      <w:r>
        <w:t xml:space="preserve">This document serves as a foundational reference for understanding the complexities of financial analysis within the dynamic landscape of</w:t>
      </w:r>
      <w:r>
        <w:t xml:space="preserve"> </w:t>
      </w:r>
      <w:r>
        <w:rPr>
          <w:bCs/>
          <w:b/>
        </w:rPr>
        <w:t xml:space="preserve">Turkey Istanbul</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Analysis in the Context of Turkey, Istanbul</dc:title>
  <dc:creator/>
  <dc:language>en</dc:language>
  <cp:keywords/>
  <dcterms:created xsi:type="dcterms:W3CDTF">2026-07-29T03:01:21Z</dcterms:created>
  <dcterms:modified xsi:type="dcterms:W3CDTF">2026-07-29T03:01:21Z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