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8e9659b84502f4aa61d0f6e01e5d97e84822d09"/>
    <w:p>
      <w:pPr>
        <w:pStyle w:val="Heading1"/>
      </w:pPr>
      <w:r>
        <w:t xml:space="preserve">Laboratory Analysis Report: Financial Analyst Roles and Regulatory Compliance in the United Arab Emirates Abu Dhabi</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FIN-UA-ADH-2023-X99</w:t>
      </w:r>
      <w:r>
        <w:br/>
      </w:r>
      <w:r>
        <w:rPr>
          <w:bCs/>
          <w:b/>
        </w:rPr>
        <w:t xml:space="preserve">Drafting Authority:</w:t>
      </w:r>
      <w:r>
        <w:t xml:space="preserve"> </w:t>
      </w:r>
      <w:r>
        <w:t xml:space="preserve">Strategic Financial Review Unit</w:t>
      </w:r>
    </w:p>
    <w:bookmarkStart w:id="20" w:name="preface-and-objective"/>
    <w:p>
      <w:pPr>
        <w:pStyle w:val="Heading3"/>
      </w:pPr>
      <w:r>
        <w:t xml:space="preserve">Preface and Objective</w:t>
      </w:r>
    </w:p>
    <w:p>
      <w:pPr>
        <w:pStyle w:val="FirstParagraph"/>
      </w:pPr>
      <w:r>
        <w:t xml:space="preserve">This document serves as a comprehensive laboratory report detailing the operational framework, strategic imperatives, and regulatory environments governing the role of a Financial Analyst within the United Arab Emirates Abu Dhabi. As Abu Dhabi continues to solidify its position as a global hub for commerce and energy economics, understanding the nuanced demands placed upon financial professionals in this specific jurisdiction is critical. This report aims to dissect the methodologies required for accurate fiscal modeling, risk assessment, and strategic planning in alignment with both local emirate-specific directives and federal UAE regulations.</w:t>
      </w:r>
    </w:p>
    <w:bookmarkEnd w:id="20"/>
    <w:bookmarkStart w:id="21" w:name="X9c58e731bb2c541ea95554a8fce59cc4d2a395e"/>
    <w:p>
      <w:pPr>
        <w:pStyle w:val="Heading2"/>
      </w:pPr>
      <w:r>
        <w:t xml:space="preserve">1.0 Introduction to the Financial Analyst Ecosystem in Abu Dhabi</w:t>
      </w:r>
    </w:p>
    <w:p>
      <w:pPr>
        <w:pStyle w:val="FirstParagraph"/>
      </w:pPr>
      <w:r>
        <w:t xml:space="preserve">The role of a Financial Analyst is not merely a function of number-crunching but acts as the central nervous system for capital allocation within the United Arab Emirates Abu Dhabi economic sphere. The emirate has undergone significant transformation over the past decade, shifting from an oil-centric economy to a diversified powerhouse involving finance, tourism, renewable energy, and technology. Consequently, the Financial Analyst in this region must possess a dual competency: traditional financial acumen and an acute awareness of geopolitical and regional economic shifts.</w:t>
      </w:r>
    </w:p>
    <w:p>
      <w:pPr>
        <w:pStyle w:val="BodyText"/>
      </w:pPr>
      <w:r>
        <w:t xml:space="preserve">In the context of United Arab Emirates Abu Dhabi, the Financial Analyst operates within a high-stakes environment characterized by sovereign wealth fund investments (such as Mubadala and ADQ), multinational corporate headquarters, and a burgeoning private sector. The "Lab" in this report metaphorically refers to the controlled environment where financial models are stress-tested against the unique variables of the Middle Eastern market. These variables include fluctuating oil prices, rapid urbanization projects, and strict adherence to Sharia-compliant financing principles where applicable.</w:t>
      </w:r>
    </w:p>
    <w:bookmarkEnd w:id="21"/>
    <w:bookmarkStart w:id="22" w:name="X6d7e688e60fdd173085de5e758278c485d86fb9"/>
    <w:p>
      <w:pPr>
        <w:pStyle w:val="Heading2"/>
      </w:pPr>
      <w:r>
        <w:t xml:space="preserve">2.0 Regulatory Framework and Compliance Standards</w:t>
      </w:r>
    </w:p>
    <w:p>
      <w:pPr>
        <w:pStyle w:val="FirstParagraph"/>
      </w:pPr>
      <w:r>
        <w:t xml:space="preserve">A critical component of any Financial Analyst’s workflow in United Arab Emirates Abu Dhabi is the navigation of complex regulatory landscapes. The primary governing bodies include the Securities and Commodities Authority (SCA) at the federal level and local entities within Abu Dhabi such as the Department of Economic Development (ADDED). The Financial Analyst must ensure that all reporting, forecasting, and investment recommendations comply with International Financial Reporting Standards (IFRS), which are widely adopted in the region.</w:t>
      </w:r>
    </w:p>
    <w:p>
      <w:pPr>
        <w:pStyle w:val="BodyText"/>
      </w:pPr>
      <w:r>
        <w:t xml:space="preserve">Furthermore, recent legislative updates in the United Arab Emirates regarding corporate taxation (effective June 2023) have added a new layer of complexity. Financial Analysts must now integrate federal corporate tax implications into their financial models for entities operating within Abu Dhabi. This requires rigorous tracking of taxable income, ensuring proper transfer pricing documentation between related parties, and understanding exemptions available for free zone businesses versus mainland entities. Failure to adhere to these regulations can result in severe penalties, making compliance a core competency of the modern Financial Analyst in this jurisdiction.</w:t>
      </w:r>
    </w:p>
    <w:bookmarkEnd w:id="22"/>
    <w:bookmarkStart w:id="23" w:name="Xab595cbaaecfd4228cf7eb355ac1beeec1a9e8c"/>
    <w:p>
      <w:pPr>
        <w:pStyle w:val="Heading2"/>
      </w:pPr>
      <w:r>
        <w:t xml:space="preserve">3.0 Methodology: Strategic Modeling and Forecasting</w:t>
      </w:r>
    </w:p>
    <w:p>
      <w:pPr>
        <w:pStyle w:val="FirstParagraph"/>
      </w:pPr>
      <w:r>
        <w:t xml:space="preserve">In this laboratory analysis, we define the standard operating procedure for conducting financial modeling within Abu Dhabi’s dynamic market. The process involves several distinct phases:</w:t>
      </w:r>
    </w:p>
    <w:p>
      <w:pPr>
        <w:numPr>
          <w:ilvl w:val="0"/>
          <w:numId w:val="1001"/>
        </w:numPr>
        <w:pStyle w:val="Compact"/>
      </w:pPr>
      <w:r>
        <w:rPr>
          <w:bCs/>
          <w:b/>
        </w:rPr>
        <w:t xml:space="preserve">Data Acquisition:</w:t>
      </w:r>
      <w:r>
        <w:t xml:space="preserve"> </w:t>
      </w:r>
      <w:r>
        <w:t xml:space="preserve">Gathering historical financial data from local banks, market reports from agencies like Bloomberg and Refinitiv, and government publications detailing Abu Dhabi’s GDP growth rates.</w:t>
      </w:r>
    </w:p>
    <w:p>
      <w:pPr>
        <w:numPr>
          <w:ilvl w:val="0"/>
          <w:numId w:val="1001"/>
        </w:numPr>
        <w:pStyle w:val="Compact"/>
      </w:pPr>
      <w:r>
        <w:t xml:space="preserve">&lt;</w:t>
      </w:r>
      <w:r>
        <w:rPr>
          <w:bCs/>
          <w:b/>
        </w:rPr>
        <w:t xml:space="preserve">Economic Variable Integration:</w:t>
      </w:r>
      <w:r>
        <w:t xml:space="preserve"> </w:t>
      </w:r>
      <w:r>
        <w:t xml:space="preserve">Adjusting models for inflation rates specific to the UAE dirham pegged basket of currencies and accounting for labor market fluctuations driven by expatriate workforce dynamics.</w:t>
      </w:r>
    </w:p>
    <w:p>
      <w:pPr>
        <w:numPr>
          <w:ilvl w:val="0"/>
          <w:numId w:val="1001"/>
        </w:numPr>
        <w:pStyle w:val="Compact"/>
      </w:pPr>
      <w:r>
        <w:rPr>
          <w:bCs/>
          <w:b/>
        </w:rPr>
        <w:t xml:space="preserve">Risk Assessment:</w:t>
      </w:r>
      <w:r>
        <w:t xml:space="preserve"> </w:t>
      </w:r>
      <w:r>
        <w:t xml:space="preserve">Utilizing Monte Carlo simulations to assess risks related to oil price volatility, which remains a primary driver of Abu Dhabi’s fiscal budget. The Financial Analyst must determine the beta coefficient of specific assets relative to the broader GCC (Gulf Cooperation Council) markets.</w:t>
      </w:r>
    </w:p>
    <w:p>
      <w:pPr>
        <w:numPr>
          <w:ilvl w:val="0"/>
          <w:numId w:val="1001"/>
        </w:numPr>
        <w:pStyle w:val="Compact"/>
      </w:pPr>
      <w:r>
        <w:rPr>
          <w:bCs/>
          <w:b/>
        </w:rPr>
        <w:t xml:space="preserve">Sensitivity Analysis:</w:t>
      </w:r>
      <w:r>
        <w:t xml:space="preserve"> </w:t>
      </w:r>
      <w:r>
        <w:t xml:space="preserve">Testing how changes in key drivers—such as real estate demand or government spending on mega-projects like Saadiyat Island—affect net present value (NPV) and internal rate of return (IRR).</w:t>
      </w:r>
    </w:p>
    <w:bookmarkEnd w:id="23"/>
    <w:bookmarkStart w:id="27" w:name="X944af94b2074eb6e7aab6437f5de490561718da"/>
    <w:p>
      <w:pPr>
        <w:pStyle w:val="Heading2"/>
      </w:pPr>
      <w:r>
        <w:t xml:space="preserve">4.0 Key Sectors and Specialized Analytical Focus</w:t>
      </w:r>
    </w:p>
    <w:p>
      <w:pPr>
        <w:pStyle w:val="FirstParagraph"/>
      </w:pPr>
      <w:r>
        <w:t xml:space="preserve">The Financial Analyst in United Arab Emirates Abu Dhabi often specializes in sectors that drive the emirate’s economy. Three primary areas of focus are highlighted below:</w:t>
      </w:r>
    </w:p>
    <w:bookmarkStart w:id="24" w:name="energy-and-utilities"/>
    <w:p>
      <w:pPr>
        <w:pStyle w:val="Heading3"/>
      </w:pPr>
      <w:r>
        <w:rPr>
          <w:bCs/>
          <w:b/>
        </w:rPr>
        <w:t xml:space="preserve">4.1 Energy and Utilities</w:t>
      </w:r>
    </w:p>
    <w:p>
      <w:pPr>
        <w:pStyle w:val="FirstParagraph"/>
      </w:pPr>
      <w:r>
        <w:t xml:space="preserve">Despite diversification efforts, energy remains central to Abu Dhabi’s economy. Analysts must evaluate long-term power purchase agreements (PPAs), renewable energy targets (such as the Masdar initiative), and upstream oil production efficiencies. The analytical focus here is on capital expenditure optimization and environmental, social, and governance (ESG) reporting.</w:t>
      </w:r>
    </w:p>
    <w:bookmarkEnd w:id="24"/>
    <w:bookmarkStart w:id="25" w:name="real-estate-and-infrastructure"/>
    <w:p>
      <w:pPr>
        <w:pStyle w:val="Heading3"/>
      </w:pPr>
      <w:r>
        <w:rPr>
          <w:bCs/>
          <w:b/>
        </w:rPr>
        <w:t xml:space="preserve">4.2 Real Estate and Infrastructure</w:t>
      </w:r>
    </w:p>
    <w:p>
      <w:pPr>
        <w:pStyle w:val="FirstParagraph"/>
      </w:pPr>
      <w:r>
        <w:t xml:space="preserve">The property market in Abu Dhabi has seen significant reforms to attract foreign investment through Golden Visas. Financial Analysts must analyze transaction volumes, rental yield trends across districts like Al Reem Island and Yas Island, and construction cost indices. This sector requires a deep understanding of freehold laws and their impact on valuation models.</w:t>
      </w:r>
    </w:p>
    <w:bookmarkEnd w:id="25"/>
    <w:bookmarkStart w:id="26" w:name="financial-services"/>
    <w:p>
      <w:pPr>
        <w:pStyle w:val="Heading3"/>
      </w:pPr>
      <w:r>
        <w:rPr>
          <w:bCs/>
          <w:b/>
        </w:rPr>
        <w:t xml:space="preserve">4.3 Financial Services</w:t>
      </w:r>
    </w:p>
    <w:p>
      <w:pPr>
        <w:pStyle w:val="FirstParagraph"/>
      </w:pPr>
      <w:r>
        <w:t xml:space="preserve">Abu Dhabi Global Market (ADGM) is a leading financial free zone with its own regulatory framework based on common law. Analysts working here must understand cross-border investment structures, fund management regulations, and the integration of digital assets and fintech innovations.</w:t>
      </w:r>
    </w:p>
    <w:bookmarkEnd w:id="26"/>
    <w:bookmarkEnd w:id="27"/>
    <w:bookmarkStart w:id="28" w:name="challenges-and-mitigation-strategies"/>
    <w:p>
      <w:pPr>
        <w:pStyle w:val="Heading2"/>
      </w:pPr>
      <w:r>
        <w:t xml:space="preserve">5.0 Challenges and Mitigation Strategies</w:t>
      </w:r>
    </w:p>
    <w:p>
      <w:pPr>
        <w:pStyle w:val="FirstParagraph"/>
      </w:pPr>
      <w:r>
        <w:t xml:space="preserve">The laboratory conditions in United Arab Emirates Abu Dhabi present specific challenges. The rapid pace of digital transformation requires Financial Analysts to upskill continuously in data analytics tools like Python, SQL, and advanced Excel modeling. Additionally, the talent pool is highly competitive, with a mix of local Emirati professionals and international expatriates. Cultural intelligence and communication skills are as vital as technical skills to navigate the diverse workplace environment.</w:t>
      </w:r>
    </w:p>
    <w:p>
      <w:pPr>
        <w:pStyle w:val="BodyText"/>
      </w:pPr>
      <w:r>
        <w:t xml:space="preserve">Mitigation strategies include continuous professional development through certifications such as CFA (Chartered Financial Analyst) or CPA, staying abreast of regulatory changes via official gazettes, and leveraging local networking opportunities within institutions like the Abu Dhabi Finance Academy.</w:t>
      </w:r>
    </w:p>
    <w:bookmarkEnd w:id="28"/>
    <w:bookmarkStart w:id="30" w:name="X7bf3ade4e9c1acc1f968e0412b619672ef477ae"/>
    <w:p>
      <w:pPr>
        <w:pStyle w:val="Heading2"/>
      </w:pPr>
      <w:r>
        <w:t xml:space="preserve">6.0 Data Summary Table: Comparative Market Indicators</w:t>
      </w:r>
    </w:p>
    <w:p>
      <w:pPr>
        <w:pStyle w:val="FirstParagraph"/>
      </w:pPr>
      <w:r>
        <w:t xml:space="preserve">Metric</w:t>
      </w:r>
    </w:p>
    <w:p>
      <w:pPr>
        <w:pStyle w:val="BodyText"/>
      </w:pPr>
      <w:r>
        <w:t xml:space="preserve">Status in Abu Dhabi (2023-2024)</w:t>
      </w:r>
    </w:p>
    <w:p>
      <w:pPr>
        <w:pStyle w:val="BodyText"/>
      </w:pPr>
      <w:r>
        <w:t xml:space="preserve">Impact on Financial Analysis</w:t>
      </w:r>
    </w:p>
    <w:p>
      <w:pPr>
        <w:pStyle w:val="BodyText"/>
      </w:pPr>
      <w:r>
        <w:t xml:space="preserve">Currency Peg</w:t>
      </w:r>
    </w:p>
    <w:p>
      <w:pPr>
        <w:pStyle w:val="BodyText"/>
      </w:pPr>
      <w:r>
        <w:t xml:space="preserve">AED pegged to USD at 3.6725</w:t>
      </w:r>
    </w:p>
    <w:p>
      <w:pPr>
        <w:pStyle w:val="BodyText"/>
      </w:pPr>
      <w:r>
        <w:t xml:space="preserve">T</w:t>
      </w:r>
    </w:p>
    <w:p>
      <w:pPr>
        <w:pStyle w:val="BodyText"/>
      </w:pPr>
      <w:r>
        <w:t xml:space="preserve">t reduces foreign exchange risk for local analysts.</w:t>
      </w:r>
    </w:p>
    <w:p>
      <w:pPr>
        <w:pStyle w:val="BodyText"/>
      </w:pPr>
      <w:r>
        <w:t xml:space="preserve">Corporate Tax Rate</w:t>
      </w:r>
    </w:p>
    <w:p>
      <w:pPr>
        <w:pStyle w:val="BodyText"/>
      </w:pPr>
      <w:r>
        <w:t xml:space="preserve">9% (for profits above AED 375k)</w:t>
      </w:r>
    </w:p>
    <w:p>
      <w:pPr>
        <w:pStyle w:val="BodyText"/>
      </w:pPr>
      <w:r>
        <w:t xml:space="preserve">New mandatory inclusion in profit forecasting models.</w:t>
      </w:r>
    </w:p>
    <w:p>
      <w:pPr>
        <w:pStyle w:val="BodyText"/>
      </w:pPr>
      <w:r>
        <w:t xml:space="preserve">GDP Growth Projection</w:t>
      </w:r>
    </w:p>
    <w:p>
      <w:pPr>
        <w:pStyle w:val="BodyText"/>
      </w:pPr>
      <w:r>
        <w:t xml:space="preserve">Moderate to High (Diversification driven)</w:t>
      </w:r>
    </w:p>
    <w:p>
      <w:r>
        <w:pict>
          <v:rect style="width:0;height:1.5pt" o:hralign="center" o:hrstd="t" o:hr="t"/>
        </w:pict>
      </w:r>
    </w:p>
    <w:bookmarkStart w:id="29" w:name="vat-rate"/>
    <w:p>
      <w:pPr>
        <w:pStyle w:val="Heading4"/>
      </w:pPr>
      <w:r>
        <w:t xml:space="preserve">Vat Rate</w:t>
      </w:r>
    </w:p>
    <w:p>
      <w:pPr>
        <w:pStyle w:val="FirstParagraph"/>
      </w:pPr>
      <w:r>
        <w:t xml:space="preserve">t&gt;</w:t>
      </w:r>
    </w:p>
    <w:p>
      <w:pPr>
        <w:pStyle w:val="BodyText"/>
      </w:pPr>
      <w:r>
        <w:t xml:space="preserve">T</w:t>
      </w:r>
    </w:p>
    <w:p>
      <w:pPr>
        <w:pStyle w:val="BodyText"/>
      </w:pPr>
      <w:r>
        <w:t xml:space="preserve">t2% VAT applies, impacting cash flow analysis and consumer spending models.</w:t>
      </w:r>
    </w:p>
    <w:p>
      <w:pPr>
        <w:pStyle w:val="BodyText"/>
      </w:pPr>
      <w:r>
        <w:t xml:space="preserve">7.0 Conclusion and Recommendations</w:t>
      </w:r>
    </w:p>
    <w:p>
      <w:pPr>
        <w:pStyle w:val="BodyText"/>
      </w:pPr>
      <w:r>
        <w:t xml:space="preserve">This laboratory report confirms that the role of a Financial Analyst in the United Arab Emirates Abu Dhabi is one of heightened complexity and strategic importance. The convergence of traditional energy economics with modern financial technologies, coupled with a robust regulatory framework, demands a versatile and knowledgeable professional. To succeed, Financial Analysts must not only master technical financial modeling but also maintain agility in responding to policy shifts within the emirate.</w:t>
      </w:r>
    </w:p>
    <w:p>
      <w:pPr>
        <w:pStyle w:val="BodyText"/>
      </w:pPr>
      <w:r>
        <w:rPr>
          <w:bCs/>
          <w:b/>
        </w:rPr>
        <w:t xml:space="preserve">Recommendations:</w:t>
      </w:r>
    </w:p>
    <w:p>
      <w:pPr>
        <w:numPr>
          <w:ilvl w:val="0"/>
          <w:numId w:val="1002"/>
        </w:numPr>
        <w:pStyle w:val="Compact"/>
      </w:pPr>
      <w:r>
        <w:rPr>
          <w:bCs/>
          <w:b/>
        </w:rPr>
        <w:t xml:space="preserve">Digital Integration:</w:t>
      </w:r>
      <w:r>
        <w:t xml:space="preserve">Firms in United Arab Emirates Abu Dhabi should invest heavily in AI-driven financial analytics tools to enhance forecasting accuracy.</w:t>
      </w:r>
    </w:p>
    <w:p>
      <w:pPr>
        <w:numPr>
          <w:ilvl w:val="0"/>
          <w:numId w:val="1002"/>
        </w:numPr>
        <w:pStyle w:val="Compact"/>
      </w:pPr>
      <w:r>
        <w:t xml:space="preserve">Regulatory Vigilance:</w:t>
      </w:r>
      <w:r>
        <w:t xml:space="preserve"> </w:t>
      </w:r>
      <w:r>
        <w:t xml:space="preserve">Regular training sessions on UAE tax laws and ADGM/SCA regulations are essential for compliance teams.</w:t>
      </w:r>
    </w:p>
    <w:p>
      <w:pPr>
        <w:numPr>
          <w:ilvl w:val="0"/>
          <w:numId w:val="1002"/>
        </w:numPr>
        <w:pStyle w:val="Compact"/>
      </w:pPr>
      <w:r>
        <w:rPr>
          <w:bCs/>
          <w:b/>
        </w:rPr>
        <w:t xml:space="preserve">Sustainability Focus:</w:t>
      </w:r>
      <w:r>
        <w:t xml:space="preserve">Analysts should prioritize ESG metrics in their reports, as global investors increasingly scrutinize sustainability performance in Abu Dhabi-based entities.</w:t>
      </w:r>
    </w:p>
    <w:p>
      <w:pPr>
        <w:pStyle w:val="FirstParagraph"/>
      </w:pPr>
      <w:r>
        <w:t xml:space="preserve">© 2023 Financial Analysis Laboratory Unit. All rights reserved.</w:t>
      </w:r>
      <w:r>
        <w:br/>
      </w:r>
      <w:r>
        <w:t xml:space="preserve">This document is strictly for internal review and strategic planning purposes within the United Arab Emirates Abu Dhabi jurisdiction.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the United Arab Emirates Abu Dhabi</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