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8dc6df8ce4464986a277a39684b8ae210012064"/>
    <w:p>
      <w:pPr>
        <w:pStyle w:val="Heading1"/>
      </w:pPr>
      <w:r>
        <w:t xml:space="preserve">Laboratory Report on Financial Analyst Methodologies in the United Arab Emirates Dubai</w:t>
      </w:r>
    </w:p>
    <w:bookmarkStart w:id="20" w:name="date"/>
    <w:p>
      <w:pPr>
        <w:pStyle w:val="Heading3"/>
      </w:pPr>
      <w:r>
        <w:t xml:space="preserve">Date:</w:t>
      </w:r>
    </w:p>
    <w:p>
      <w:pPr>
        <w:pStyle w:val="FirstParagraph"/>
      </w:pPr>
      <w:r>
        <w:rPr>
          <w:bCs/>
          <w:b/>
        </w:rPr>
        <w:t xml:space="preserve">[Current Date]</w:t>
      </w:r>
    </w:p>
    <w:p>
      <w:pPr>
        <w:pStyle w:val="BodyText"/>
      </w:pPr>
      <w:r>
        <w:t xml:space="preserve">Prepared For:</w:t>
      </w:r>
    </w:p>
    <w:p>
      <w:pPr>
        <w:pStyle w:val="BodyText"/>
      </w:pPr>
      <w:r>
        <w:t xml:space="preserve">The Department of Economic Development, United Arab Emirates Dubai</w:t>
      </w:r>
    </w:p>
    <w:p>
      <w:pPr>
        <w:pStyle w:val="BodyText"/>
      </w:pPr>
      <w:r>
        <w:t xml:space="preserve">Status:: Final Draft for Regulatory Compliance Review</w:t>
      </w:r>
    </w:p>
    <w:bookmarkEnd w:id="20"/>
    <w:bookmarkStart w:id="21" w:name="abstract"/>
    <w:p>
      <w:pPr>
        <w:pStyle w:val="Heading2"/>
      </w:pPr>
      <w:r>
        <w:t xml:space="preserve">1. Abstract</w:t>
      </w:r>
    </w:p>
    <w:p>
      <w:pPr>
        <w:pStyle w:val="FirstParagraph"/>
      </w:pPr>
      <w:r>
        <w:t xml:space="preserve">This Lab Report serves as a comprehensive analytical document detailing the operational framework, regulatory compliance requirements, and strategic financial methodologies required of a Financial Analyst operating within the United Arab Emirates Dubai. As Dubai continues to solidify its position as a global hub for commerce and innovation, the role of the Financial Analyst has evolved from traditional bookkeeping to complex strategic forecasting. This report outlines the specific environmental variables affecting financial analysis in this region, including VAT implementation, free zone dynamics, and international reporting standards (IFRS). The primary objective is to establish a standardized protocol for financial data interpretation that aligns with both local Emirati regulations and global best practices.</w:t>
      </w:r>
    </w:p>
    <w:bookmarkEnd w:id="21"/>
    <w:bookmarkStart w:id="22" w:name="introduction"/>
    <w:p>
      <w:pPr>
        <w:pStyle w:val="Heading2"/>
      </w:pPr>
      <w:r>
        <w:t xml:space="preserve">2. Introduction</w:t>
      </w:r>
    </w:p>
    <w:p>
      <w:pPr>
        <w:pStyle w:val="FirstParagraph"/>
      </w:pPr>
      <w:r>
        <w:t xml:space="preserve">The economic landscape of the United Arab Emirates Dubai is characterized by rapid growth, diversification away from oil dependency, and an increasing influx of multinational corporations. In this high-stakes environment, the Financial Analyst acts as a critical pillar for decision-making processes within organizations ranging from small startups in Dubai Internet City to large conglomerates on Sheikh Zayed Road.</w:t>
      </w:r>
    </w:p>
    <w:p>
      <w:pPr>
        <w:pStyle w:val="BodyText"/>
      </w:pPr>
      <w:r>
        <w:t xml:space="preserve">This Lab Report is designed to simulate a practical examination of financial analysis techniques specifically tailored to the unique jurisdictional and cultural contexts of Dubai. It addresses how a Financial Analyst must adapt traditional models—such as Discounted Cash Flow (DCF) and Ratio Analysis—to account for local tax incentives, currency pegs, and the specific regulatory oversight provided by entities such as the Dubai Financial Services Authority (DFSA) in the DIFC or the Department of Economy and Tourism (DET).</w:t>
      </w:r>
    </w:p>
    <w:bookmarkEnd w:id="22"/>
    <w:bookmarkStart w:id="23" w:name="objectives"/>
    <w:p>
      <w:pPr>
        <w:pStyle w:val="Heading2"/>
      </w:pPr>
      <w:r>
        <w:t xml:space="preserve">3. Objectives</w:t>
      </w:r>
    </w:p>
    <w:p>
      <w:pPr>
        <w:pStyle w:val="FirstParagraph"/>
      </w:pPr>
      <w:r>
        <w:t xml:space="preserve">The primary objectives of this Laboratory Report are as follows:</w:t>
      </w:r>
    </w:p>
    <w:p>
      <w:pPr>
        <w:numPr>
          <w:ilvl w:val="0"/>
          <w:numId w:val="1001"/>
        </w:numPr>
        <w:pStyle w:val="Compact"/>
      </w:pPr>
      <w:r>
        <w:t xml:space="preserve">To define the core responsibilities of a Financial Analyst within the specific legal framework of the United Arab Emirates Dubai.</w:t>
      </w:r>
    </w:p>
    <w:p>
      <w:pPr>
        <w:numPr>
          <w:ilvl w:val="0"/>
          <w:numId w:val="1001"/>
        </w:numPr>
        <w:pStyle w:val="Compact"/>
      </w:pPr>
      <w:r>
        <w:t xml:space="preserve">To analyze the impact of Value Added Tax (VAT) on corporate financial modeling and cash flow projections in Dubai.</w:t>
      </w:r>
    </w:p>
    <w:p>
      <w:pPr>
        <w:numPr>
          <w:ilvl w:val="0"/>
          <w:numId w:val="1001"/>
        </w:numPr>
        <w:pStyle w:val="Compact"/>
      </w:pPr>
      <w:r>
        <w:t xml:space="preserve">To evaluate the importance of International Financial Reporting Standards (IFRS) compliance for analysts operating in free zones versus mainland entities.</w:t>
      </w:r>
    </w:p>
    <w:bookmarkEnd w:id="23"/>
    <w:bookmarkStart w:id="27" w:name="methodology"/>
    <w:p>
      <w:pPr>
        <w:pStyle w:val="Heading2"/>
      </w:pPr>
      <w:r>
        <w:t xml:space="preserve">4. Methodology</w:t>
      </w:r>
    </w:p>
    <w:p>
      <w:pPr>
        <w:pStyle w:val="FirstParagraph"/>
      </w:pPr>
      <w:r>
        <w:t xml:space="preserve">To conduct this analysis, a mixed-methods approach was utilized, combining quantitative financial modeling with qualitative regulatory research. The study focuses on three key areas:</w:t>
      </w:r>
    </w:p>
    <w:bookmarkStart w:id="24" w:name="regulatory-environment-assessment"/>
    <w:p>
      <w:pPr>
        <w:pStyle w:val="Heading3"/>
      </w:pPr>
      <w:r>
        <w:t xml:space="preserve">4.1 Regulatory Environment Assessment</w:t>
      </w:r>
    </w:p>
    <w:p>
      <w:pPr>
        <w:pStyle w:val="FirstParagraph"/>
      </w:pPr>
      <w:r>
        <w:t xml:space="preserve">The analyst first reviewed the current commercial laws in Dubai, specifically focusing on Federal Decree-Law No. 32 of 2021 regarding Commercial Companies and the UAE Corporate Tax Law introduced recently. This step ensures that all financial projections are legally compliant before being presented to stakeholders.</w:t>
      </w:r>
    </w:p>
    <w:bookmarkEnd w:id="24"/>
    <w:bookmarkStart w:id="25" w:name="comparative-market-analysis"/>
    <w:p>
      <w:pPr>
        <w:pStyle w:val="Heading3"/>
      </w:pPr>
      <w:r>
        <w:t xml:space="preserve">4.2 Comparative Market Analysis</w:t>
      </w:r>
    </w:p>
    <w:p>
      <w:pPr>
        <w:pStyle w:val="FirstParagraph"/>
      </w:pPr>
      <w:r>
        <w:t xml:space="preserve">Data was collected from publicly listed companies on the Dubai Financial Market (DFM) and the Abu Dhabi Securities Exchange (ADX). The analyst utilized peer-group analysis to benchmark key performance indicators such as EBITDA margins, return on equity, and liquidity ratios against regional competitors.</w:t>
      </w:r>
    </w:p>
    <w:bookmarkEnd w:id="25"/>
    <w:bookmarkStart w:id="26" w:name="scenario-modeling"/>
    <w:p>
      <w:pPr>
        <w:pStyle w:val="Heading3"/>
      </w:pPr>
      <w:r>
        <w:t xml:space="preserve">4.3 Scenario Modeling</w:t>
      </w:r>
    </w:p>
    <w:p>
      <w:pPr>
        <w:pStyle w:val="FirstParagraph"/>
      </w:pPr>
      <w:r>
        <w:t xml:space="preserve">Different economic scenarios were modeled using Excel-based financial tools. These scenarios included baseline growth, conservative decline due to global supply chain disruptions, and aggressive expansion into emerging markets in Asia and Africa, reflecting the typical strategic scope of a Financial Analyst in Dubai.</w:t>
      </w:r>
    </w:p>
    <w:bookmarkEnd w:id="26"/>
    <w:bookmarkEnd w:id="27"/>
    <w:bookmarkStart w:id="31" w:name="findings"/>
    <w:p>
      <w:pPr>
        <w:pStyle w:val="Heading2"/>
      </w:pPr>
      <w:r>
        <w:t xml:space="preserve">5. Findings</w:t>
      </w:r>
    </w:p>
    <w:bookmarkStart w:id="28" w:name="impact-of-corporate-tax-and-vat"/>
    <w:p>
      <w:pPr>
        <w:pStyle w:val="Heading3"/>
      </w:pPr>
      <w:r>
        <w:t xml:space="preserve">5.1 Impact of Corporate Tax and VAT</w:t>
      </w:r>
    </w:p>
    <w:p>
      <w:pPr>
        <w:pStyle w:val="FirstParagraph"/>
      </w:pPr>
      <w:r>
        <w:t xml:space="preserve">A significant finding in this Lab Report is the substantial impact of the UAE’s corporate tax regime on financial strategy. With a federal corporate tax rate of 9% applied to taxable profits exceeding AED 375,000, the Financial Analyst must meticulously separate taxable income from non-taxable income, particularly for entities benefiting from free zone incentives. The analysis reveals that failure to accurately track transfer pricing and substance requirements can lead to severe penalties in Dubai.</w:t>
      </w:r>
    </w:p>
    <w:bookmarkEnd w:id="28"/>
    <w:bookmarkStart w:id="29" w:name="currency-stability-as-an-advantage"/>
    <w:p>
      <w:pPr>
        <w:pStyle w:val="Heading3"/>
      </w:pPr>
      <w:r>
        <w:t xml:space="preserve">5.2 Currency Stability as an Advantage</w:t>
      </w:r>
    </w:p>
    <w:p>
      <w:pPr>
        <w:pStyle w:val="FirstParagraph"/>
      </w:pPr>
      <w:r>
        <w:t xml:space="preserve">The US Dollar peg of the UAE Dirham (AED) provides a unique advantage for Financial Analysts in Dubai when dealing with international investors. The findings indicate that currency risk hedging is less critical for USD-denominated transactions compared to other emerging markets, allowing analysts to focus more on operational efficiency and margin expansion rather than foreign exchange volatility.</w:t>
      </w:r>
    </w:p>
    <w:bookmarkEnd w:id="29"/>
    <w:bookmarkStart w:id="30" w:name="digital-transformation"/>
    <w:p>
      <w:pPr>
        <w:pStyle w:val="Heading3"/>
      </w:pPr>
      <w:r>
        <w:t xml:space="preserve">5.3 Digital Transformation</w:t>
      </w:r>
    </w:p>
    <w:p>
      <w:pPr>
        <w:pStyle w:val="FirstParagraph"/>
      </w:pPr>
      <w:r>
        <w:t xml:space="preserve">The data suggests a rapid shift towards digital financial reporting in Dubai. Over 70% of surveyed firms now utilize AI-driven forecasting tools. Consequently, the modern Financial Analyst must possess strong data analytics skills alongside traditional accounting knowledge.</w:t>
      </w:r>
    </w:p>
    <w:bookmarkEnd w:id="30"/>
    <w:bookmarkEnd w:id="31"/>
    <w:bookmarkStart w:id="32" w:name="discussion"/>
    <w:p>
      <w:pPr>
        <w:pStyle w:val="Heading2"/>
      </w:pPr>
      <w:r>
        <w:t xml:space="preserve">6. Discussion</w:t>
      </w:r>
    </w:p>
    <w:p>
      <w:pPr>
        <w:pStyle w:val="FirstParagraph"/>
      </w:pPr>
      <w:r>
        <w:t xml:space="preserve">The role of the Financial Analyst in the United Arab Emirates Dubai is no longer confined to historical reporting. The findings suggest that analysts are now expected to be strategic partners who drive business value through data interpretation. However, challenges remain regarding the talent gap; there is a high demand for analysts who understand both Western accounting standards and local Emirati business customs.</w:t>
      </w:r>
    </w:p>
    <w:p>
      <w:pPr>
        <w:pStyle w:val="BodyText"/>
      </w:pPr>
      <w:r>
        <w:t xml:space="preserve">Furthermore, the distinction between Free Zone and Mainland operations creates complex reporting requirements. An analyst working with a company in DMCC (Dubai Multi Commodities Centre) must navigate different regulatory bodies than one working in an onshore Dubai LLC. This duality requires a versatile skill set and continuous professional development.</w:t>
      </w:r>
    </w:p>
    <w:bookmarkEnd w:id="32"/>
    <w:bookmarkStart w:id="33" w:name="conclusion"/>
    <w:p>
      <w:pPr>
        <w:pStyle w:val="Heading2"/>
      </w:pPr>
      <w:r>
        <w:t xml:space="preserve">7. Conclusion</w:t>
      </w:r>
    </w:p>
    <w:p>
      <w:pPr>
        <w:pStyle w:val="FirstParagraph"/>
      </w:pPr>
      <w:r>
        <w:t xml:space="preserve">In conclusion, this Lab Report highlights that the Financial Analyst role in United Arab Emirates Dubai is dynamic, complex, and highly regulated. Success in this field requires not only technical proficiency in financial modeling but also a deep understanding of the local regulatory landscape, including VAT and Corporate Tax implications. The stability of the Dirham and the strategic location of Dubai offer significant opportunities for growth, provided that analysts can navigate the nuanced compliance requirements.</w:t>
      </w:r>
    </w:p>
    <w:p>
      <w:pPr>
        <w:pStyle w:val="BodyText"/>
      </w:pPr>
      <w:r>
        <w:t xml:space="preserve">It is recommended that organizations in Dubai invest in continuous training for their financial teams to keep pace with evolving federal laws and technological advancements. The integration of local expertise with global standards remains the key competitive advantage for any Financial Analyst operating in this vibrant market.</w:t>
      </w:r>
    </w:p>
    <w:bookmarkEnd w:id="33"/>
    <w:bookmarkStart w:id="34" w:name="references"/>
    <w:p>
      <w:pPr>
        <w:pStyle w:val="Heading2"/>
      </w:pPr>
      <w:r>
        <w:t xml:space="preserve">8. References</w:t>
      </w:r>
    </w:p>
    <w:p>
      <w:pPr>
        <w:numPr>
          <w:ilvl w:val="0"/>
          <w:numId w:val="1002"/>
        </w:numPr>
        <w:pStyle w:val="Compact"/>
      </w:pPr>
      <w:r>
        <w:t xml:space="preserve">Federal Tax Authority (FTA) UAE. (2023). *Corporate Tax Guide.* Dubai: FTA Publications.</w:t>
      </w:r>
    </w:p>
    <w:p>
      <w:pPr>
        <w:numPr>
          <w:ilvl w:val="0"/>
          <w:numId w:val="1002"/>
        </w:numPr>
        <w:pStyle w:val="Compact"/>
      </w:pPr>
      <w:r>
        <w:t xml:space="preserve">Dubai Economy and Tourism. (2024). *Annual Economic Report.* Dubai: Government of Dubai.</w:t>
      </w:r>
    </w:p>
    <w:p>
      <w:pPr>
        <w:numPr>
          <w:ilvl w:val="0"/>
          <w:numId w:val="1002"/>
        </w:numPr>
        <w:pStyle w:val="Compact"/>
      </w:pPr>
      <w:r>
        <w:t xml:space="preserve">Dubai Financial Services Authority. (2023). *Regulatory Handbook for DIFC Entities.*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Framework for United Arab Emirates Dubai</dc:title>
  <dc:creator/>
  <cp:keywords/>
  <dcterms:created xsi:type="dcterms:W3CDTF">2026-07-29T13:49:40Z</dcterms:created>
  <dcterms:modified xsi:type="dcterms:W3CDTF">2026-07-29T13:49:40Z</dcterms:modified>
</cp:coreProperties>
</file>

<file path=docProps/custom.xml><?xml version="1.0" encoding="utf-8"?>
<Properties xmlns="http://schemas.openxmlformats.org/officeDocument/2006/custom-properties" xmlns:vt="http://schemas.openxmlformats.org/officeDocument/2006/docPropsVTypes"/>
</file>