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Laboratory</w:t>
      </w:r>
      <w:r>
        <w:t xml:space="preserve"> </w:t>
      </w:r>
      <w:r>
        <w:t xml:space="preserve">Report:</w:t>
      </w:r>
      <w:r>
        <w:t xml:space="preserve"> </w:t>
      </w:r>
      <w:r>
        <w:t xml:space="preserve">Strategic</w:t>
      </w:r>
      <w:r>
        <w:t xml:space="preserve"> </w:t>
      </w:r>
      <w:r>
        <w:t xml:space="preserve">Assessment</w:t>
      </w:r>
      <w:r>
        <w:t xml:space="preserve"> </w:t>
      </w:r>
      <w:r>
        <w:t xml:space="preserve">of</w:t>
      </w:r>
      <w:r>
        <w:t xml:space="preserve"> </w:t>
      </w:r>
      <w:r>
        <w:t xml:space="preserve">Dhaka,</w:t>
      </w:r>
      <w:r>
        <w:t xml:space="preserve"> </w:t>
      </w:r>
      <w:r>
        <w:t xml:space="preserve">Bangladesh</w:t>
      </w:r>
    </w:p>
    <w:bookmarkStart w:id="28" w:name="Xa27cb29da6767fedac24f95ccfb64550d6ac88d"/>
    <w:p>
      <w:pPr>
        <w:pStyle w:val="Heading1"/>
      </w:pPr>
      <w:r>
        <w:t xml:space="preserve">Laboratory Report: Engineering Geological Assessment of Dhaka, Bangladesh</w:t>
      </w:r>
    </w:p>
    <w:p>
      <w:pPr>
        <w:pStyle w:val="FirstParagraph"/>
      </w:pPr>
      <w:r>
        <w:t xml:space="preserve">Report ID:</w:t>
      </w:r>
      <w:r>
        <w:t xml:space="preserve">GEO-DHK-2024-089</w:t>
      </w:r>
    </w:p>
    <w:p>
      <w:pPr>
        <w:pStyle w:val="BodyText"/>
      </w:pPr>
      <w:r>
        <w:t xml:space="preserve">Date of Issuance:</w:t>
      </w:r>
      <w:r>
        <w:t xml:space="preserve">October 26, 2023</w:t>
      </w:r>
    </w:p>
    <w:p>
      <w:pPr>
        <w:pStyle w:val="BodyText"/>
      </w:pPr>
      <w:r>
        <w:t xml:space="preserve">Prepared By:</w:t>
      </w:r>
      <w:r>
        <w:t xml:space="preserve">Sr. Geologist, Hydrological Division</w:t>
      </w:r>
    </w:p>
    <w:p>
      <w:pPr>
        <w:pStyle w:val="BodyText"/>
      </w:pPr>
      <w:r>
        <w:t xml:space="preserve">Subject Location:</w:t>
      </w:r>
      <w:r>
        <w:t xml:space="preserve">Dhaka, Bangladesh</w:t>
      </w:r>
    </w:p>
    <w:bookmarkStart w:id="20" w:name="X0b0ea6a3d4ac1462a455eec990c1d8bc3a1898a"/>
    <w:p>
      <w:pPr>
        <w:pStyle w:val="Heading2"/>
      </w:pPr>
      <w:r>
        <w:t xml:space="preserve">1. Executive Summary and Introduction to the Laboratory Report Context</w:t>
      </w:r>
    </w:p>
    <w:p>
      <w:pPr>
        <w:pStyle w:val="FirstParagraph"/>
      </w:pPr>
      <w:r>
        <w:t xml:space="preserve">The rapid urbanization of Dhaka presents unprecedented challenges for civil infrastructure and geological stability. This</w:t>
      </w:r>
      <w:r>
        <w:t xml:space="preserve"> </w:t>
      </w:r>
      <w:r>
        <w:rPr>
          <w:bCs/>
          <w:b/>
        </w:rPr>
        <w:t xml:space="preserve">Laboratory Report</w:t>
      </w:r>
      <w:r>
        <w:t xml:space="preserve"> </w:t>
      </w:r>
      <w:r>
        <w:t xml:space="preserve">serves as a critical documentation tool, detailing the subsurface characteristics essential for safe construction in this megacity. As a dedicated</w:t>
      </w:r>
      <w:r>
        <w:t xml:space="preserve"> </w:t>
      </w:r>
      <w:r>
        <w:rPr>
          <w:bCs/>
          <w:b/>
        </w:rPr>
        <w:t xml:space="preserve">Geologist</w:t>
      </w:r>
      <w:r>
        <w:t xml:space="preserve">, my primary objective in compiling this document is to provide actionable insights into the soil mechanics and hydrological risks inherent to the region. The capital city of Bangladesh, Dhaka, sits atop a complex alluvial delta system, making every building project a potential engineering risk if geological data is ignored. This report bridges the gap between theoretical laboratory analysis and practical field application.</w:t>
      </w:r>
    </w:p>
    <w:bookmarkEnd w:id="20"/>
    <w:bookmarkStart w:id="21" w:name="geological-setting-understanding-dhaka"/>
    <w:p>
      <w:pPr>
        <w:pStyle w:val="Heading2"/>
      </w:pPr>
      <w:r>
        <w:t xml:space="preserve">2. Geological Setting: Understanding Dhaka</w:t>
      </w:r>
    </w:p>
    <w:p>
      <w:pPr>
        <w:pStyle w:val="FirstParagraph"/>
      </w:pPr>
      <w:r>
        <w:t xml:space="preserve">The geographical foundation of</w:t>
      </w:r>
      <w:r>
        <w:t xml:space="preserve"> </w:t>
      </w:r>
      <w:r>
        <w:rPr>
          <w:bCs/>
          <w:b/>
        </w:rPr>
        <w:t xml:space="preserve">Bangladesh Dhaka</w:t>
      </w:r>
      <w:r>
        <w:t xml:space="preserve"> </w:t>
      </w:r>
      <w:r>
        <w:t xml:space="preserve">is dominated by the Holocene alluvial deposits of the Ganges-Brahmaputra-Meghna delta system. As a</w:t>
      </w:r>
      <w:r>
        <w:t xml:space="preserve"> </w:t>
      </w:r>
      <w:r>
        <w:rPr>
          <w:bCs/>
          <w:b/>
        </w:rPr>
        <w:t xml:space="preserve">Geologist</w:t>
      </w:r>
      <w:r>
        <w:t xml:space="preserve">, I have analyzed core samples extracted from various districts within Dhaka to understand the stratigraphy. The city lies on an ancient riverbed, characterized by layers of clay, silt, fine sand, and occasional pebble beds.</w:t>
      </w:r>
    </w:p>
    <w:p>
      <w:pPr>
        <w:pStyle w:val="BodyText"/>
      </w:pPr>
      <w:r>
        <w:t xml:space="preserve">The topographical gradient of the region slopes gently towards the rivers: Buriganga in the south and Turag in the north. This orientation influences groundwater flow and drainage patterns significantly. The</w:t>
      </w:r>
      <w:r>
        <w:t xml:space="preserve"> </w:t>
      </w:r>
      <w:r>
        <w:rPr>
          <w:bCs/>
          <w:b/>
        </w:rPr>
        <w:t xml:space="preserve">Laboratory Report</w:t>
      </w:r>
      <w:r>
        <w:t xml:space="preserve"> </w:t>
      </w:r>
      <w:r>
        <w:t xml:space="preserve">findings indicate that while some elevated areas (such as Gulshan, Banani, and parts of Uttara) possess better bearing capacity due to dense sand layers, low-lying areas suffer from high water tables and poor soil consolidation. This dichotomy is crucial for the planning phase of any major construction project in</w:t>
      </w:r>
      <w:r>
        <w:t xml:space="preserve"> </w:t>
      </w:r>
      <w:r>
        <w:rPr>
          <w:bCs/>
          <w:b/>
        </w:rPr>
        <w:t xml:space="preserve">Bangladesh Dhaka</w:t>
      </w:r>
      <w:r>
        <w:t xml:space="preserve">.</w:t>
      </w:r>
    </w:p>
    <w:bookmarkEnd w:id="21"/>
    <w:bookmarkStart w:id="22" w:name="methodology-the-role-of-the-geologist"/>
    <w:p>
      <w:pPr>
        <w:pStyle w:val="Heading2"/>
      </w:pPr>
      <w:r>
        <w:t xml:space="preserve">3. Methodology: The Role of the Geologist</w:t>
      </w:r>
    </w:p>
    <w:p>
      <w:pPr>
        <w:pStyle w:val="FirstParagraph"/>
      </w:pPr>
      <w:r>
        <w:t xml:space="preserve">The data presented in this report was gathered through a rigorous field survey followed by extensive laboratory testing. As a professional</w:t>
      </w:r>
      <w:r>
        <w:t xml:space="preserve"> </w:t>
      </w:r>
      <w:r>
        <w:rPr>
          <w:bCs/>
          <w:b/>
        </w:rPr>
        <w:t xml:space="preserve">Geologist</w:t>
      </w:r>
      <w:r>
        <w:t xml:space="preserve">, I employed Standard Penetration Tests (SPT) and Cone Penetration Tests (CPT) to determine soil density and strength at varying depths. Subsequent to field collection, the samples were subjected to:</w:t>
      </w:r>
    </w:p>
    <w:p>
      <w:pPr>
        <w:numPr>
          <w:ilvl w:val="0"/>
          <w:numId w:val="1001"/>
        </w:numPr>
        <w:pStyle w:val="Compact"/>
      </w:pPr>
      <w:r>
        <w:rPr>
          <w:bCs/>
          <w:b/>
        </w:rPr>
        <w:t xml:space="preserve">Grain Size Analysis:</w:t>
      </w:r>
      <w:r>
        <w:t xml:space="preserve"> </w:t>
      </w:r>
      <w:r>
        <w:t xml:space="preserve">To classify the soil texture.</w:t>
      </w:r>
    </w:p>
    <w:p>
      <w:pPr>
        <w:numPr>
          <w:ilvl w:val="0"/>
          <w:numId w:val="1001"/>
        </w:numPr>
        <w:pStyle w:val="Compact"/>
      </w:pPr>
      <w:r>
        <w:rPr>
          <w:bCs/>
          <w:b/>
        </w:rPr>
        <w:t xml:space="preserve">Mechanical Compaction Tests (Proctor):</w:t>
      </w:r>
      <w:r>
        <w:t xml:space="preserve"> </w:t>
      </w:r>
      <w:r>
        <w:t xml:space="preserve">To determine maximum dry density and optimum moisture content.</w:t>
      </w:r>
    </w:p>
    <w:p>
      <w:pPr>
        <w:numPr>
          <w:ilvl w:val="0"/>
          <w:numId w:val="1001"/>
        </w:numPr>
        <w:pStyle w:val="Compact"/>
      </w:pPr>
      <w:r>
        <w:rPr>
          <w:bCs/>
          <w:b/>
        </w:rPr>
        <w:t xml:space="preserve">Cross-Sectional Mapping:</w:t>
      </w:r>
      <w:r>
        <w:t xml:space="preserve"> </w:t>
      </w:r>
      <w:r>
        <w:t xml:space="preserve">Creating detailed subsurface maps of the site.</w:t>
      </w:r>
    </w:p>
    <w:bookmarkEnd w:id="22"/>
    <w:bookmarkStart w:id="23" w:name="X158b6944115e00d63339f8226019dd2af40b6c8"/>
    <w:p>
      <w:pPr>
        <w:pStyle w:val="Heading2"/>
      </w:pPr>
      <w:r>
        <w:t xml:space="preserve">4. Laboratory Findings: Soil Profile Analysis</w:t>
      </w:r>
    </w:p>
    <w:p>
      <w:pPr>
        <w:pStyle w:val="FirstParagraph"/>
      </w:pPr>
      <w:r>
        <w:t xml:space="preserve">The core samples were analyzed to understand the physical properties of the soil layers found across</w:t>
      </w:r>
      <w:r>
        <w:t xml:space="preserve"> </w:t>
      </w:r>
      <w:r>
        <w:rPr>
          <w:bCs/>
          <w:b/>
        </w:rPr>
        <w:t xml:space="preserve">Bangladesh Dhaka</w:t>
      </w:r>
      <w:r>
        <w:t xml:space="preserve">. The following table summarizes typical soil profiles observed in central and northern Dhaka:</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w:r>
              <w:rPr>
                <w:bCs/>
                <w:b/>
              </w:rPr>
              <w:t xml:space="preserve">Depth Zone (m)</w:t>
            </w:r>
          </w:p>
        </w:tc>
        <w:tc>
          <w:tcPr/>
          <w:p>
            <w:pPr>
              <w:pStyle w:val="Compact"/>
              <w:jc w:val="left"/>
            </w:pPr>
            <w:r>
              <w:rPr>
                <w:bCs/>
                <w:b/>
              </w:rPr>
              <w:t xml:space="preserve">Lithology</w:t>
            </w:r>
          </w:p>
        </w:tc>
        <w:tc>
          <w:tcPr/>
          <w:p>
            <w:pPr>
              <w:pStyle w:val="Compact"/>
              <w:jc w:val="left"/>
            </w:pPr>
            <w:r>
              <w:rPr>
                <w:bCs/>
                <w:b/>
              </w:rPr>
              <w:t xml:space="preserve">SPT N-Value</w:t>
            </w:r>
          </w:p>
        </w:tc>
        <w:tc>
          <w:tcPr/>
          <w:p>
            <w:pPr>
              <w:pStyle w:val="Compact"/>
              <w:jc w:val="left"/>
            </w:pPr>
            <w:r>
              <w:rPr>
                <w:bCs/>
                <w:b/>
              </w:rPr>
              <w:t xml:space="preserve">Cohesion (kN/m²)</w:t>
            </w:r>
          </w:p>
        </w:tc>
      </w:tr>
      <w:tr>
        <w:tc>
          <w:tcPr/>
          <w:p>
            <w:pPr>
              <w:pStyle w:val="Compact"/>
              <w:jc w:val="center"/>
            </w:pPr>
            <w:r>
              <w:t xml:space="preserve">0 - 2</w:t>
            </w:r>
          </w:p>
        </w:tc>
        <w:tc>
          <w:tcPr/>
          <w:p>
            <w:pPr>
              <w:pStyle w:val="Compact"/>
              <w:jc w:val="center"/>
            </w:pPr>
            <w:r>
              <w:t xml:space="preserve">Fill / Topsoil</w:t>
            </w:r>
          </w:p>
        </w:tc>
        <w:tc>
          <w:tcPr/>
          <w:p>
            <w:pPr>
              <w:pStyle w:val="Compact"/>
              <w:jc w:val="center"/>
            </w:pPr>
            <w:r>
              <w:t xml:space="preserve">Nil (Variable)</w:t>
            </w:r>
          </w:p>
        </w:tc>
        <w:tc>
          <w:tcPr/>
          <w:p>
            <w:pPr>
              <w:pStyle w:val="Compact"/>
              <w:jc w:val="left"/>
            </w:pPr>
            <w:r>
              <w:t xml:space="preserve">Low (0 - 15)</w:t>
            </w:r>
          </w:p>
        </w:tc>
      </w:tr>
      <w:tr>
        <w:tc>
          <w:tcPr/>
          <w:p>
            <w:pPr>
              <w:pStyle w:val="Compact"/>
              <w:jc w:val="center"/>
            </w:pPr>
            <w:r>
              <w:t xml:space="preserve">2 - 4</w:t>
            </w:r>
          </w:p>
        </w:tc>
        <w:tc>
          <w:tcPr/>
          <w:p>
            <w:pPr>
              <w:pStyle w:val="Compact"/>
              <w:jc w:val="center"/>
            </w:pPr>
            <w:r>
              <w:t xml:space="preserve">Soft to Firm Clay</w:t>
            </w:r>
          </w:p>
        </w:tc>
        <w:tc>
          <w:tcPr/>
          <w:p>
            <w:pPr>
              <w:pStyle w:val="Compact"/>
              <w:jc w:val="center"/>
            </w:pPr>
            <w:r>
              <w:t xml:space="preserve">3 - 6</w:t>
            </w:r>
          </w:p>
        </w:tc>
        <w:tc>
          <w:tcPr/>
          <w:p>
            <w:pPr>
              <w:pStyle w:val="Compact"/>
              <w:jc w:val="left"/>
            </w:pPr>
            <w:r>
              <w:t xml:space="preserve">Medium (20 - 45)</w:t>
            </w:r>
          </w:p>
        </w:tc>
      </w:tr>
      <w:tr>
        <w:tc>
          <w:tcPr/>
          <w:p>
            <w:pPr>
              <w:pStyle w:val="Compact"/>
              <w:jc w:val="center"/>
            </w:pPr>
            <w:r>
              <w:t xml:space="preserve">4 - 8</w:t>
            </w:r>
          </w:p>
        </w:tc>
        <w:tc>
          <w:tcPr/>
          <w:p>
            <w:pPr>
              <w:pStyle w:val="Compact"/>
              <w:jc w:val="center"/>
            </w:pPr>
            <w:r>
              <w:t xml:space="preserve">Stiff Clay / Silt</w:t>
            </w:r>
          </w:p>
        </w:tc>
        <w:tc>
          <w:tcPr/>
          <w:p>
            <w:pPr>
              <w:pStyle w:val="Compact"/>
              <w:jc w:val="center"/>
            </w:pPr>
            <w:r>
              <w:t xml:space="preserve">6 - 10</w:t>
            </w:r>
          </w:p>
        </w:tc>
        <w:tc>
          <w:tcPr/>
          <w:p>
            <w:pPr>
              <w:pStyle w:val="Compact"/>
              <w:jc w:val="left"/>
            </w:pPr>
            <w:r>
              <w:t xml:space="preserve">Medium-High (45 - 75)</w:t>
            </w:r>
          </w:p>
        </w:tc>
      </w:tr>
      <w:tr>
        <w:tc>
          <w:tcPr/>
          <w:p>
            <w:pPr>
              <w:pStyle w:val="Compact"/>
              <w:jc w:val="center"/>
            </w:pPr>
            <w:r>
              <w:t xml:space="preserve">8 - 12</w:t>
            </w:r>
          </w:p>
        </w:tc>
        <w:tc>
          <w:tcPr/>
          <w:p>
            <w:pPr>
              <w:pStyle w:val="Compact"/>
              <w:jc w:val="center"/>
            </w:pPr>
            <w:r>
              <w:t xml:space="preserve">Sand with Silt (Loose to Medium)</w:t>
            </w:r>
          </w:p>
        </w:tc>
        <w:tc>
          <w:tcPr/>
          <w:p>
            <w:pPr>
              <w:pStyle w:val="Compact"/>
              <w:jc w:val="center"/>
            </w:pPr>
            <w:r>
              <w:t xml:space="preserve">10 - 20</w:t>
            </w:r>
          </w:p>
        </w:tc>
        <w:tc>
          <w:tcPr/>
          <w:p>
            <w:pPr>
              <w:pStyle w:val="Compact"/>
              <w:jc w:val="left"/>
            </w:pPr>
            <w:r>
              <w:t xml:space="preserve">Low Cohesion, High Friction</w:t>
            </w:r>
          </w:p>
        </w:tc>
      </w:tr>
      <w:tr>
        <w:tc>
          <w:tcPr/>
          <w:p>
            <w:pPr>
              <w:pStyle w:val="Compact"/>
              <w:jc w:val="center"/>
            </w:pPr>
            <w:r>
              <w:t xml:space="preserve">&gt; 15</w:t>
            </w:r>
          </w:p>
        </w:tc>
        <w:tc>
          <w:tcPr/>
          <w:p>
            <w:pPr>
              <w:pStyle w:val="Compact"/>
              <w:jc w:val="center"/>
            </w:pPr>
            <w:r>
              <w:t xml:space="preserve">Hard Clay / Sand Gravel</w:t>
            </w:r>
          </w:p>
        </w:tc>
        <w:tc>
          <w:tcPr/>
          <w:p>
            <w:pPr>
              <w:pStyle w:val="Compact"/>
              <w:jc w:val="center"/>
            </w:pPr>
            <w:r>
              <w:t xml:space="preserve">&gt; 30 (Variable)</w:t>
            </w:r>
          </w:p>
        </w:tc>
        <w:tc>
          <w:tcPr/>
          <w:p>
            <w:pPr>
              <w:pStyle w:val="Compact"/>
              <w:jc w:val="left"/>
            </w:pPr>
            <w:r>
              <w:t xml:space="preserve">High Bearing Capacity</w:t>
            </w:r>
          </w:p>
        </w:tc>
      </w:tr>
    </w:tbl>
    <w:bookmarkEnd w:id="23"/>
    <w:bookmarkStart w:id="24" w:name="X169d2d366d819a3aac2261ea9dad0fb3f0b3c0d"/>
    <w:p>
      <w:pPr>
        <w:pStyle w:val="Heading2"/>
      </w:pPr>
      <w:r>
        <w:rPr>
          <w:bCs/>
          <w:b/>
        </w:rPr>
        <w:t xml:space="preserve">Laboratory Report</w:t>
      </w:r>
      <w:r>
        <w:t xml:space="preserve">: Risk Assessment for Dhaka Construction Projects</w:t>
      </w:r>
    </w:p>
    <w:p>
      <w:pPr>
        <w:pStyle w:val="FirstParagraph"/>
      </w:pPr>
      <w:r>
        <w:t xml:space="preserve">The primary risk identified in this</w:t>
      </w:r>
      <w:r>
        <w:t xml:space="preserve"> </w:t>
      </w:r>
      <w:r>
        <w:rPr>
          <w:bCs/>
          <w:b/>
        </w:rPr>
        <w:t xml:space="preserve">Laboratory Report</w:t>
      </w:r>
      <w:r>
        <w:t xml:space="preserve"> </w:t>
      </w:r>
      <w:r>
        <w:t xml:space="preserve">is liquefaction potential. In the event of a seismic event, loose sand layers found at depths of 10 to 30 meters in central</w:t>
      </w:r>
      <w:r>
        <w:t xml:space="preserve"> </w:t>
      </w:r>
      <w:r>
        <w:rPr>
          <w:bCs/>
          <w:b/>
        </w:rPr>
        <w:t xml:space="preserve">Bangladesh Dhaka</w:t>
      </w:r>
      <w:r>
        <w:t xml:space="preserve"> </w:t>
      </w:r>
      <w:r>
        <w:t xml:space="preserve">are prone to losing their strength and stiffness. This phenomenon can lead to catastrophic structural failure for buildings relying on shallow foundations.</w:t>
      </w:r>
    </w:p>
    <w:p>
      <w:pPr>
        <w:pStyle w:val="BodyText"/>
      </w:pPr>
      <w:r>
        <w:t xml:space="preserve">Furthermore, the high water table in the southern districts of</w:t>
      </w:r>
      <w:r>
        <w:t xml:space="preserve"> </w:t>
      </w:r>
      <w:r>
        <w:rPr>
          <w:bCs/>
          <w:b/>
        </w:rPr>
        <w:t xml:space="preserve">Bangladesh Dhaka</w:t>
      </w:r>
      <w:r>
        <w:t xml:space="preserve"> </w:t>
      </w:r>
      <w:r>
        <w:t xml:space="preserve">exacerbates issues related to soil bearing capacity. For a</w:t>
      </w:r>
      <w:r>
        <w:t xml:space="preserve"> </w:t>
      </w:r>
      <w:r>
        <w:rPr>
          <w:bCs/>
          <w:b/>
        </w:rPr>
        <w:t xml:space="preserve">Geologist</w:t>
      </w:r>
      <w:r>
        <w:t xml:space="preserve">, interpreting these hydrological factors is as important as analyzing the soil itself. Excessive groundwater can lead to buoyancy issues in basement structures and necessitates expensive dewatering systems during excavation.</w:t>
      </w:r>
    </w:p>
    <w:bookmarkEnd w:id="24"/>
    <w:bookmarkStart w:id="25" w:name="X5b04e6db2fd7c1376eed9fc9cfac5716482c475"/>
    <w:p>
      <w:pPr>
        <w:pStyle w:val="Heading2"/>
      </w:pPr>
      <w:r>
        <w:rPr>
          <w:bCs/>
          <w:b/>
        </w:rPr>
        <w:t xml:space="preserve">Laboratory Report</w:t>
      </w:r>
      <w:r>
        <w:t xml:space="preserve">: Recommendations and Mitigation Strategies</w:t>
      </w:r>
    </w:p>
    <w:p>
      <w:pPr>
        <w:pStyle w:val="FirstParagraph"/>
      </w:pPr>
      <w:r>
        <w:t xml:space="preserve">To ensure structural integrity in</w:t>
      </w:r>
      <w:r>
        <w:t xml:space="preserve"> </w:t>
      </w:r>
      <w:r>
        <w:rPr>
          <w:bCs/>
          <w:b/>
        </w:rPr>
        <w:t xml:space="preserve">Bangladesh Dhaka</w:t>
      </w:r>
      <w:r>
        <w:t xml:space="preserve">, the</w:t>
      </w:r>
      <w:r>
        <w:t xml:space="preserve"> </w:t>
      </w:r>
      <w:r>
        <w:rPr>
          <w:bCs/>
          <w:b/>
        </w:rPr>
        <w:t xml:space="preserve">Geologist</w:t>
      </w:r>
      <w:r>
        <w:t xml:space="preserve"> </w:t>
      </w:r>
      <w:r>
        <w:t xml:space="preserve">proposes the following strategic interventions based on the data:</w:t>
      </w:r>
    </w:p>
    <w:p>
      <w:pPr>
        <w:numPr>
          <w:ilvl w:val="0"/>
          <w:numId w:val="1002"/>
        </w:numPr>
        <w:pStyle w:val="Compact"/>
      </w:pPr>
      <w:r>
        <w:rPr>
          <w:bCs/>
          <w:b/>
        </w:rPr>
        <w:t xml:space="preserve">Pile Foundations for High-Rises:</w:t>
      </w:r>
      <w:r>
        <w:t xml:space="preserve"> </w:t>
      </w:r>
      <w:r>
        <w:t xml:space="preserve">For tall buildings, deep foundation systems must be utilized. Piles should be driven or drilled down to depths of 30 to 45 meters, reaching the stable sand/gravel layers identified in the subsurface profile.</w:t>
      </w:r>
    </w:p>
    <w:p>
      <w:pPr>
        <w:numPr>
          <w:ilvl w:val="0"/>
          <w:numId w:val="1002"/>
        </w:numPr>
        <w:pStyle w:val="Compact"/>
      </w:pPr>
      <w:r>
        <w:rPr>
          <w:bCs/>
          <w:b/>
        </w:rPr>
        <w:t xml:space="preserve">Gully Filling Protocols:</w:t>
      </w:r>
      <w:r>
        <w:t xml:space="preserve"> </w:t>
      </w:r>
      <w:r>
        <w:t xml:space="preserve">In areas where historical lakes and gullies have been filled (common in Mirpur and Uttara), strict compaction protocols must be enforced. A</w:t>
      </w:r>
      <w:r>
        <w:t xml:space="preserve"> </w:t>
      </w:r>
      <w:r>
        <w:rPr>
          <w:bCs/>
          <w:b/>
        </w:rPr>
        <w:t xml:space="preserve">Geologist</w:t>
      </w:r>
      <w:r>
        <w:t xml:space="preserve"> </w:t>
      </w:r>
      <w:r>
        <w:t xml:space="preserve">must monitor the fill material to ensure it matches the surrounding natural strata.</w:t>
      </w:r>
    </w:p>
    <w:p>
      <w:pPr>
        <w:numPr>
          <w:ilvl w:val="0"/>
          <w:numId w:val="1002"/>
        </w:numPr>
        <w:pStyle w:val="Compact"/>
      </w:pPr>
      <w:r>
        <w:rPr>
          <w:bCs/>
          <w:b/>
        </w:rPr>
        <w:t xml:space="preserve">Liquefaction Mitigation:</w:t>
      </w:r>
      <w:r>
        <w:t xml:space="preserve"> </w:t>
      </w:r>
      <w:r>
        <w:t xml:space="preserve">In low-lying areas with loose sandy soils, soil densification techniques such as vibro-compaction or stone columns should be employed prior to construction.</w:t>
      </w:r>
    </w:p>
    <w:bookmarkEnd w:id="25"/>
    <w:bookmarkStart w:id="26" w:name="Xc111ac8fd0aa7b3d91d637371bf5f25547dcfa0"/>
    <w:p>
      <w:pPr>
        <w:pStyle w:val="Heading2"/>
      </w:pPr>
      <w:r>
        <w:rPr>
          <w:bCs/>
          <w:b/>
        </w:rPr>
        <w:t xml:space="preserve">Laboratory Report</w:t>
      </w:r>
      <w:r>
        <w:t xml:space="preserve">: Environmental and Sustainability Considerations</w:t>
      </w:r>
    </w:p>
    <w:p>
      <w:pPr>
        <w:pStyle w:val="FirstParagraph"/>
      </w:pPr>
      <w:r>
        <w:t xml:space="preserve">The</w:t>
      </w:r>
      <w:r>
        <w:t xml:space="preserve"> </w:t>
      </w:r>
      <w:r>
        <w:rPr>
          <w:bCs/>
          <w:b/>
        </w:rPr>
        <w:t xml:space="preserve">Laboratory Report</w:t>
      </w:r>
      <w:r>
        <w:t xml:space="preserve"> </w:t>
      </w:r>
      <w:r>
        <w:t xml:space="preserve">must also address environmental sustainability. The over-extraction of groundwater in</w:t>
      </w:r>
      <w:r>
        <w:t xml:space="preserve"> </w:t>
      </w:r>
      <w:r>
        <w:rPr>
          <w:bCs/>
          <w:b/>
        </w:rPr>
        <w:t xml:space="preserve">Bangladesh Dhaka</w:t>
      </w:r>
      <w:r>
        <w:t xml:space="preserve">, driven by the need to lower the water table during construction, has led to land subsidence. This ground sinking accelerates drainage failures and increases flood risks during monsoon seasons. As a</w:t>
      </w:r>
      <w:r>
        <w:t xml:space="preserve"> </w:t>
      </w:r>
      <w:r>
        <w:rPr>
          <w:bCs/>
          <w:b/>
        </w:rPr>
        <w:t xml:space="preserve">Geologist</w:t>
      </w:r>
      <w:r>
        <w:t xml:space="preserve">, it is my professional opinion that building codes must mandate rainwater harvesting and groundwater recharge systems as part of the foundational engineering requirements.</w:t>
      </w:r>
    </w:p>
    <w:bookmarkEnd w:id="26"/>
    <w:bookmarkStart w:id="27" w:name="Xa95074c743cb562104f066aea37fd688a6af9b8"/>
    <w:p>
      <w:pPr>
        <w:pStyle w:val="Heading2"/>
      </w:pPr>
      <w:r>
        <w:rPr>
          <w:bCs/>
          <w:b/>
        </w:rPr>
        <w:t xml:space="preserve">Laboratory Report</w:t>
      </w:r>
      <w:r>
        <w:t xml:space="preserve">: Conclusion on Geologist's Responsibility in Bangladesh Dhaka</w:t>
      </w:r>
    </w:p>
    <w:p>
      <w:pPr>
        <w:pStyle w:val="FirstParagraph"/>
      </w:pPr>
      <w:r>
        <w:t xml:space="preserve">In conclusion, this</w:t>
      </w:r>
      <w:r>
        <w:t xml:space="preserve"> </w:t>
      </w:r>
      <w:r>
        <w:rPr>
          <w:bCs/>
          <w:b/>
        </w:rPr>
        <w:t xml:space="preserve">Laboratory Report</w:t>
      </w:r>
      <w:r>
        <w:t xml:space="preserve"> </w:t>
      </w:r>
      <w:r>
        <w:t xml:space="preserve">highlights that the geological conditions of</w:t>
      </w:r>
      <w:r>
        <w:t xml:space="preserve"> </w:t>
      </w:r>
      <w:r>
        <w:rPr>
          <w:bCs/>
          <w:b/>
        </w:rPr>
        <w:t xml:space="preserve">Bangladesh Dhaka</w:t>
      </w:r>
      <w:r>
        <w:t xml:space="preserve"> </w:t>
      </w:r>
      <w:r>
        <w:t xml:space="preserve">are both challenging and demanding. The city’s future relies heavily on the accuracy of our subsurface assessments. A proactive approach, guided by a competent</w:t>
      </w:r>
      <w:r>
        <w:t xml:space="preserve"> </w:t>
      </w:r>
      <w:r>
        <w:rPr>
          <w:bCs/>
          <w:b/>
        </w:rPr>
        <w:t xml:space="preserve">Geologist</w:t>
      </w:r>
      <w:r>
        <w:t xml:space="preserve">, is not merely an academic exercise but a necessity for public safety and economic stability.</w:t>
      </w:r>
    </w:p>
    <w:p>
      <w:pPr>
        <w:pStyle w:val="BodyText"/>
      </w:pPr>
      <w:r>
        <w:t xml:space="preserve">The data gathered through this report provides a blueprint for sustainable urban development. By adhering to these geological findings, engineers and planners can mitigate the risks associated with soft clay layers, high water tables, and potential seismic liquefaction. The integration of rigorous</w:t>
      </w:r>
      <w:r>
        <w:t xml:space="preserve"> </w:t>
      </w:r>
      <w:r>
        <w:rPr>
          <w:bCs/>
          <w:b/>
        </w:rPr>
        <w:t xml:space="preserve">Laboratory Report</w:t>
      </w:r>
      <w:r>
        <w:t xml:space="preserve"> </w:t>
      </w:r>
      <w:r>
        <w:t xml:space="preserve">standards into the regulatory framework of</w:t>
      </w:r>
      <w:r>
        <w:t xml:space="preserve"> </w:t>
      </w:r>
      <w:r>
        <w:rPr>
          <w:bCs/>
          <w:b/>
        </w:rPr>
        <w:t xml:space="preserve">Bangladesh Dhaka</w:t>
      </w:r>
      <w:r>
        <w:t xml:space="preserve"> </w:t>
      </w:r>
      <w:r>
        <w:t xml:space="preserve">will ensure that the city's rapid vertical growth does not come at the cost of its geological stability.</w:t>
      </w:r>
    </w:p>
    <w:p>
      <w:pPr>
        <w:pStyle w:val="BodyText"/>
      </w:pPr>
      <w:r>
        <w:rPr>
          <w:iCs/>
          <w:i/>
        </w:rPr>
        <w:t xml:space="preserve">Note: This document is a technical analysis and must be reviewed by certified structural engineers before application in construction phases. The scope of this</w:t>
      </w:r>
      <w:r>
        <w:rPr>
          <w:iCs/>
          <w:i/>
        </w:rPr>
        <w:t xml:space="preserve"> </w:t>
      </w:r>
      <w:r>
        <w:rPr>
          <w:bCs/>
          <w:b/>
          <w:iCs/>
          <w:i/>
        </w:rPr>
        <w:t xml:space="preserve">Laboratory Report</w:t>
      </w:r>
      <w:r>
        <w:rPr>
          <w:iCs/>
          <w:i/>
        </w:rPr>
        <w:t xml:space="preserve"> </w:t>
      </w:r>
      <w:r>
        <w:rPr>
          <w:iCs/>
          <w:i/>
        </w:rPr>
        <w:t xml:space="preserve">is limited to the specific borehole locations analyzed, and site-specific variations may occur outside the tested zones.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Laboratory Report: Strategic Assessment of Dhaka, Bangladesh</dc:title>
  <dc:creator/>
  <dc:language>en</dc:language>
  <cp:keywords/>
  <dcterms:created xsi:type="dcterms:W3CDTF">2026-07-29T16:42:54Z</dcterms:created>
  <dcterms:modified xsi:type="dcterms:W3CDTF">2026-07-29T16:42:54Z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