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Designers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bookmarkStart w:id="21" w:name="X238746a6e5c3004ecca72de9fe43230077904a4"/>
    <w:p>
      <w:pPr>
        <w:pStyle w:val="Heading1"/>
      </w:pPr>
      <w:r>
        <w:t xml:space="preserve">Laboratory Report on Visual Communication Strategies</w:t>
      </w:r>
    </w:p>
    <w:bookmarkStart w:id="20" w:name="Xb674945887f68be76573ab401332c719cb8685b"/>
    <w:p>
      <w:pPr>
        <w:pStyle w:val="Heading3"/>
      </w:pPr>
      <w:r>
        <w:rPr>
          <w:bCs/>
          <w:b/>
        </w:rPr>
        <w:t xml:space="preserve">Subject:</w:t>
      </w:r>
      <w:r>
        <w:t xml:space="preserve"> </w:t>
      </w:r>
      <w:r>
        <w:t xml:space="preserve">Analysis of the Graphic Designer Profession in Algeria, Algiers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Role and Impact of Graphic Designers in Algeria, Algiers</dc:title>
  <dc:creator/>
  <dc:language>en</dc:language>
  <cp:keywords/>
  <dcterms:created xsi:type="dcterms:W3CDTF">2026-07-29T11:59:08Z</dcterms:created>
  <dcterms:modified xsi:type="dcterms:W3CDTF">2026-07-29T11:59:08Z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