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Graphic</w:t>
      </w:r>
      <w:r>
        <w:t xml:space="preserve"> </w:t>
      </w:r>
      <w:r>
        <w:t xml:space="preserve">Design</w:t>
      </w:r>
      <w:r>
        <w:t xml:space="preserve"> </w:t>
      </w:r>
      <w:r>
        <w:t xml:space="preserve">Proficiency</w:t>
      </w:r>
      <w:r>
        <w:t xml:space="preserve"> </w:t>
      </w:r>
      <w:r>
        <w:t xml:space="preserve">Analysis</w:t>
      </w:r>
      <w:r>
        <w:t xml:space="preserve"> </w:t>
      </w:r>
      <w:r>
        <w:t xml:space="preserve">for</w:t>
      </w:r>
      <w:r>
        <w:t xml:space="preserve"> </w:t>
      </w:r>
      <w:r>
        <w:t xml:space="preserve">Germany</w:t>
      </w:r>
      <w:r>
        <w:t xml:space="preserve"> </w:t>
      </w:r>
      <w:r>
        <w:t xml:space="preserve">Berlin</w:t>
      </w:r>
    </w:p>
    <w:p>
      <w:pPr>
        <w:pStyle w:val="FirstParagraph"/>
      </w:pPr>
      <w:r>
        <w:t xml:space="preserve">```html</w:t>
      </w:r>
    </w:p>
    <w:p>
      <w:pPr>
        <w:pStyle w:val="BodyText"/>
      </w:pPr>
      <w:r>
        <w:rPr>
          <w:bCs/>
          <w:b/>
        </w:rPr>
        <w:t xml:space="preserve">Laboratory Report ID:</w:t>
      </w:r>
      <w:r>
        <w:t xml:space="preserve"> </w:t>
      </w:r>
      <w:r>
        <w:t xml:space="preserve">GD-BER-2023-X</w:t>
      </w:r>
      <w:r>
        <w:br/>
      </w:r>
      <w:r>
        <w:rPr>
          <w:bCs/>
          <w:b/>
        </w:rPr>
        <w:t xml:space="preserve">Date of Analysis:</w:t>
      </w:r>
      <w:r>
        <w:t xml:space="preserve">October 15, 2023</w:t>
      </w:r>
      <w:r>
        <w:br/>
      </w:r>
      <w:r>
        <w:rPr>
          <w:bCs/>
          <w:b/>
        </w:rPr>
        <w:t xml:space="preserve">Focusing Region:</w:t>
      </w:r>
      <w:r>
        <w:t xml:space="preserve"> </w:t>
      </w:r>
      <w:r>
        <w:t xml:space="preserve">Germany Berlin</w:t>
      </w:r>
    </w:p>
    <w:bookmarkStart w:id="37" w:name="Xa513efea33112afd73f347b2bbf6491d0d1875e"/>
    <w:p>
      <w:pPr>
        <w:pStyle w:val="Heading1"/>
      </w:pPr>
      <w:r>
        <w:t xml:space="preserve">Laboratory Report: Comprehensive Evaluation of Graphic Designer Competencies in the Context of Germany Berlin</w:t>
      </w:r>
    </w:p>
    <w:bookmarkStart w:id="21" w:name="executive-summary-and-introduction"/>
    <w:p>
      <w:pPr>
        <w:pStyle w:val="Heading2"/>
      </w:pPr>
      <w:r>
        <w:t xml:space="preserve">1. Executive Summary and Introduction</w:t>
      </w:r>
    </w:p>
    <w:p>
      <w:pPr>
        <w:pStyle w:val="FirstParagraph"/>
      </w:pPr>
      <w:r>
        <w:t xml:space="preserve">This document serves as a formal</w:t>
      </w:r>
      <w:r>
        <w:t xml:space="preserve"> </w:t>
      </w:r>
      <w:r>
        <w:rPr>
          <w:bCs/>
          <w:b/>
        </w:rPr>
        <w:t xml:space="preserve">Laboratory Report detailing the critical role, required skill sets, and operational environment for a Professional Graphic Designer within the dynamic cultural and economic landscape of Germany Berlin.</w:t>
      </w:r>
      <w:r>
        <w:t xml:space="preserve"> </w:t>
      </w:r>
      <w:r>
        <w:t xml:space="preserve">As global markets increasingly converge upon visual communication as primary drivers of brand identity this report aims to dissect the specific nuances demanded by the Berlin market. The city stands as Europe's premier hub for creative innovation intersecting with technology policy and international business. Consequently understanding how a</w:t>
      </w:r>
      <w:r>
        <w:t xml:space="preserve"> </w:t>
      </w:r>
      <w:r>
        <w:rPr>
          <w:bCs/>
          <w:b/>
        </w:rPr>
        <w:t xml:space="preserve">Graphic Designer</w:t>
      </w:r>
      <w:r>
        <w:t xml:space="preserve"> </w:t>
      </w:r>
      <w:r>
        <w:t xml:space="preserve">must adapt their craft to meet these unique demands is essential for both aspiring professionals and established firms seeking localized talent.</w:t>
      </w:r>
    </w:p>
    <w:bookmarkStart w:id="20" w:name="purpose-of-the-study"/>
    <w:p>
      <w:pPr>
        <w:pStyle w:val="Heading3"/>
      </w:pPr>
      <w:r>
        <w:t xml:space="preserve">1.1 Purpose of the Study</w:t>
      </w:r>
    </w:p>
    <w:p>
      <w:pPr>
        <w:pStyle w:val="FirstParagraph"/>
      </w:pPr>
      <w:r>
        <w:t xml:space="preserve">The primary objective of this</w:t>
      </w:r>
      <w:r>
        <w:t xml:space="preserve"> </w:t>
      </w:r>
      <w:r>
        <w:rPr>
          <w:bCs/>
          <w:b/>
        </w:rPr>
        <w:t xml:space="preserve">Laboratory Report</w:t>
      </w:r>
    </w:p>
    <w:bookmarkEnd w:id="20"/>
    <w:bookmarkEnd w:id="21"/>
    <w:bookmarkStart w:id="22" w:name="methodology-and-scope"/>
    <w:p>
      <w:pPr>
        <w:pStyle w:val="Heading2"/>
      </w:pPr>
      <w:r>
        <w:t xml:space="preserve">2. Methodology and Scope</w:t>
      </w:r>
    </w:p>
    <w:p>
      <w:pPr>
        <w:pStyle w:val="FirstParagraph"/>
      </w:pPr>
      <w:r>
        <w:t xml:space="preserve">To ensure accuracy this study employs a multi-faceted analytical approach combining qualitative interviews with senior creatives in the region quantitative surveys regarding software proficiency trends and observational analysis of current public campaigns across</w:t>
      </w:r>
      <w:r>
        <w:t xml:space="preserve"> </w:t>
      </w:r>
      <w:r>
        <w:rPr>
          <w:bCs/>
          <w:b/>
        </w:rPr>
        <w:t xml:space="preserve">Germany Berlin.</w:t>
      </w:r>
      <w:r>
        <w:t xml:space="preserve">Data sources include industry reports from the German Graphic Designers Association BDG case studies from local agencies and academic perspectives on cross-cultural design principles. This comprehensive methodology allows for a robust conclusion regarding the evolving expectations placed upon modern designers in this specific geographic context.</w:t>
      </w:r>
    </w:p>
    <w:bookmarkEnd w:id="22"/>
    <w:bookmarkStart w:id="26" w:name="market-analysis-the-berlin-context"/>
    <w:p>
      <w:pPr>
        <w:pStyle w:val="Heading2"/>
      </w:pPr>
      <w:r>
        <w:t xml:space="preserve">3. Market Analysis: The Berlin Context</w:t>
      </w:r>
    </w:p>
    <w:bookmarkStart w:id="24" w:name="X984dcd7c126221d26d6376e56b123e4576ac8cb"/>
    <w:p>
      <w:pPr>
        <w:pStyle w:val="Heading3"/>
      </w:pPr>
      <w:r>
        <w:t xml:space="preserve">3.1 Cultural Significance of Design in Germany Berlin</w:t>
      </w:r>
    </w:p>
    <w:p>
      <w:pPr>
        <w:pStyle w:val="FirstParagraph"/>
      </w:pPr>
      <w:r>
        <w:t xml:space="preserve">Berlin is renowned for its rich artistic heritage and contemporary avant-garde spirit. The city's visual identity is characterized by a blend of historical brutalism modern minimalist aesthetics and vibrant street culture. For a</w:t>
      </w:r>
      <w:r>
        <w:t xml:space="preserve"> </w:t>
      </w:r>
      <w:r>
        <w:rPr>
          <w:bCs/>
          <w:b/>
        </w:rPr>
        <w:t xml:space="preserve">Graphic Designer</w:t>
      </w:r>
    </w:p>
    <w:bookmarkStart w:id="23" w:name="minimalism-vs-expressionism"/>
    <w:p>
      <w:pPr>
        <w:pStyle w:val="Heading4"/>
      </w:pPr>
      <w:r>
        <w:t xml:space="preserve">3.1.1 Minimalism vs Expressionism</w:t>
      </w:r>
    </w:p>
    <w:p>
      <w:pPr>
        <w:pStyle w:val="FirstParagraph"/>
      </w:pPr>
      <w:r>
        <w:t xml:space="preserve">A distinct duality exists in Berlin's design landscape while influenced by international minimalistic trends (often seen in tech startups) there remains a strong appreciation for expressive typography and bold color palettes reminiscent of the city's historical Bauhaus roots which originated nearby in Weimar but heavily influenced German design philosophy. A</w:t>
      </w:r>
      <w:r>
        <w:t xml:space="preserve"> </w:t>
      </w:r>
      <w:r>
        <w:rPr>
          <w:bCs/>
          <w:b/>
        </w:rPr>
        <w:t xml:space="preserve">Graphic Designer</w:t>
      </w:r>
    </w:p>
    <w:bookmarkEnd w:id="23"/>
    <w:bookmarkEnd w:id="24"/>
    <w:bookmarkStart w:id="25" w:name="economic-drivers-and-industry-demand"/>
    <w:p>
      <w:pPr>
        <w:pStyle w:val="Heading3"/>
      </w:pPr>
      <w:r>
        <w:t xml:space="preserve">3.2 Economic Drivers and Industry Demand</w:t>
      </w:r>
    </w:p>
    <w:p>
      <w:pPr>
        <w:pStyle w:val="FirstParagraph"/>
      </w:pPr>
      <w:r>
        <w:t xml:space="preserve">The economy of</w:t>
      </w:r>
      <w:r>
        <w:t xml:space="preserve"> </w:t>
      </w:r>
      <w:r>
        <w:rPr>
          <w:bCs/>
          <w:b/>
        </w:rPr>
        <w:t xml:space="preserve">Germany Berlin</w:t>
      </w:r>
    </w:p>
    <w:bookmarkEnd w:id="25"/>
    <w:bookmarkEnd w:id="26"/>
    <w:bookmarkStart w:id="30" w:name="core-competencies-required"/>
    <w:p>
      <w:pPr>
        <w:pStyle w:val="Heading2"/>
      </w:pPr>
      <w:r>
        <w:t xml:space="preserve">4. Core Competencies Required</w:t>
      </w:r>
    </w:p>
    <w:bookmarkStart w:id="27" w:name="technical-proficiency"/>
    <w:p>
      <w:pPr>
        <w:pStyle w:val="Heading3"/>
      </w:pPr>
      <w:r>
        <w:t xml:space="preserve">4.1 Technical Proficiency</w:t>
      </w:r>
    </w:p>
    <w:p>
      <w:pPr>
        <w:pStyle w:val="FirstParagraph"/>
      </w:pPr>
      <w:r>
        <w:t xml:space="preserve">To succeed as a</w:t>
      </w:r>
      <w:r>
        <w:t xml:space="preserve"> </w:t>
      </w:r>
      <w:r>
        <w:rPr>
          <w:bCs/>
          <w:b/>
        </w:rPr>
        <w:t xml:space="preserve">Graphic Designer</w:t>
      </w:r>
    </w:p>
    <w:bookmarkEnd w:id="27"/>
    <w:bookmarkStart w:id="28" w:name="linguistic-and-cultural-competence"/>
    <w:p>
      <w:pPr>
        <w:pStyle w:val="Heading3"/>
      </w:pPr>
      <w:r>
        <w:t xml:space="preserve">4.2 Linguistic and Cultural Competence</w:t>
      </w:r>
    </w:p>
    <w:p>
      <w:pPr>
        <w:pStyle w:val="FirstParagraph"/>
      </w:pPr>
      <w:r>
        <w:t xml:space="preserve">While English serves as the lingua franca in Berlin's creative sector German language skills significantly enhance employability and client relations. A</w:t>
      </w:r>
      <w:r>
        <w:t xml:space="preserve"> </w:t>
      </w:r>
      <w:r>
        <w:rPr>
          <w:bCs/>
          <w:b/>
        </w:rPr>
        <w:t xml:space="preserve">Graphic Designer</w:t>
      </w:r>
    </w:p>
    <w:bookmarkEnd w:id="28"/>
    <w:bookmarkStart w:id="29" w:name="conceptual-versatility"/>
    <w:p>
      <w:pPr>
        <w:pStyle w:val="Heading3"/>
      </w:pPr>
      <w:r>
        <w:t xml:space="preserve">4.3 Conceptual Versatility</w:t>
      </w:r>
    </w:p>
    <w:p>
      <w:pPr>
        <w:pStyle w:val="FirstParagraph"/>
      </w:pPr>
      <w:r>
        <w:t xml:space="preserve">Berlin clients often seek unique narratives rather than generic solutions. Therefore the ability to conceptualize ideas that resonate with both local German sensibilities and international audiences is paramount. This involves research-driven design processes that consider socio-cultural factors specific to</w:t>
      </w:r>
      <w:r>
        <w:t xml:space="preserve"> </w:t>
      </w:r>
      <w:r>
        <w:rPr>
          <w:bCs/>
          <w:b/>
        </w:rPr>
        <w:t xml:space="preserve">Germany Berlin.</w:t>
      </w:r>
    </w:p>
    <w:bookmarkEnd w:id="29"/>
    <w:bookmarkEnd w:id="30"/>
    <w:bookmarkStart w:id="33" w:name="operational-challenges-and-solutions"/>
    <w:p>
      <w:pPr>
        <w:pStyle w:val="Heading2"/>
      </w:pPr>
      <w:r>
        <w:t xml:space="preserve">5. Operational Challenges and Solutions</w:t>
      </w:r>
    </w:p>
    <w:bookmarkStart w:id="31" w:name="regulatory-compliance"/>
    <w:p>
      <w:pPr>
        <w:pStyle w:val="Heading3"/>
      </w:pPr>
      <w:r>
        <w:t xml:space="preserve">5.1 Regulatory Compliance</w:t>
      </w:r>
    </w:p>
    <w:p>
      <w:pPr>
        <w:pStyle w:val="FirstParagraph"/>
      </w:pPr>
      <w:r>
        <w:t xml:space="preserve">The legal framework governing advertising and intellectual property in Germany is stringent. A primary challenge for any</w:t>
      </w:r>
      <w:r>
        <w:t xml:space="preserve"> </w:t>
      </w:r>
      <w:r>
        <w:rPr>
          <w:bCs/>
          <w:b/>
        </w:rPr>
        <w:t xml:space="preserve">Graphic Designer</w:t>
      </w:r>
    </w:p>
    <w:bookmarkEnd w:id="31"/>
    <w:bookmarkStart w:id="32" w:name="sustainability-expectations"/>
    <w:p>
      <w:pPr>
        <w:pStyle w:val="Heading3"/>
      </w:pPr>
      <w:r>
        <w:t xml:space="preserve">5.2 Sustainability Expectations</w:t>
      </w:r>
    </w:p>
    <w:p>
      <w:pPr>
        <w:pStyle w:val="FirstParagraph"/>
      </w:pPr>
      <w:r>
        <w:t xml:space="preserve">Sustainability has become a core value in Berlin's business community. There is growing pressure on designers to propose eco-friendly printing solutions sustainable packaging options and digital-first strategies that reduce carbon footprints. A forward-thinking</w:t>
      </w:r>
      <w:r>
        <w:t xml:space="preserve"> </w:t>
      </w:r>
      <w:r>
        <w:rPr>
          <w:bCs/>
          <w:b/>
        </w:rPr>
        <w:t xml:space="preserve">Graphic Designer</w:t>
      </w:r>
    </w:p>
    <w:bookmarkEnd w:id="32"/>
    <w:bookmarkEnd w:id="33"/>
    <w:bookmarkStart w:id="34" w:name="case-study-analysis-local-agency-trends"/>
    <w:p>
      <w:pPr>
        <w:pStyle w:val="Heading2"/>
      </w:pPr>
      <w:r>
        <w:t xml:space="preserve">6. Case Study Analysis: Local Agency Trends</w:t>
      </w:r>
    </w:p>
    <w:p>
      <w:pPr>
        <w:pStyle w:val="FirstParagraph"/>
      </w:pPr>
      <w:r>
        <w:t xml:space="preserve">An examination of leading design studios in</w:t>
      </w:r>
      <w:r>
        <w:t xml:space="preserve"> </w:t>
      </w:r>
      <w:r>
        <w:rPr>
          <w:bCs/>
          <w:b/>
        </w:rPr>
        <w:t xml:space="preserve">Germany Berlin</w:t>
      </w:r>
    </w:p>
    <w:bookmarkEnd w:id="34"/>
    <w:bookmarkStart w:id="35"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Graphic DesignerGermany Berlin.The market demands versatility linguistic proficiency technological expertise and a deep sensitivity to cultural nuances. Professionals who can merge high-quality visual storytelling with rigorous adherence to local regulations and sustainability practices will find themselves highly sought after.</w:t>
      </w:r>
    </w:p>
    <w:bookmarkEnd w:id="35"/>
    <w:bookmarkStart w:id="36" w:name="recommendations-for-future-practitioners"/>
    <w:p>
      <w:pPr>
        <w:pStyle w:val="Heading2"/>
      </w:pPr>
      <w:r>
        <w:t xml:space="preserve">8. Recommendations for Future Practitioners</w:t>
      </w:r>
    </w:p>
    <w:p>
      <w:pPr>
        <w:numPr>
          <w:ilvl w:val="0"/>
          <w:numId w:val="1001"/>
        </w:numPr>
        <w:pStyle w:val="Compact"/>
      </w:pPr>
      <w:r>
        <w:t xml:space="preserve">Prioritize learning German language basics alongside technical design skills.</w:t>
      </w:r>
    </w:p>
    <w:p>
      <w:pPr>
        <w:numPr>
          <w:ilvl w:val="0"/>
          <w:numId w:val="1001"/>
        </w:numPr>
        <w:pStyle w:val="Compact"/>
      </w:pPr>
      <w:r>
        <w:t xml:space="preserve">Stay updated on European Union digital regulations particularly concerning data privacy and accessibility.</w:t>
      </w:r>
    </w:p>
    <w:p>
      <w:pPr>
        <w:numPr>
          <w:ilvl w:val="0"/>
          <w:numId w:val="1001"/>
        </w:numPr>
        <w:pStyle w:val="Compact"/>
      </w:pPr>
      <w:r>
        <w:t xml:space="preserve">Cultivate a portfolio that reflects an understanding of both global trends and local Berlin aesthetics.</w:t>
      </w:r>
    </w:p>
    <w:p>
      <w:pPr>
        <w:numPr>
          <w:ilvl w:val="0"/>
          <w:numId w:val="1001"/>
        </w:numPr>
        <w:pStyle w:val="Compact"/>
      </w:pPr>
      <w:r>
        <w:t xml:space="preserve">Incorporate sustainable practices into all creative proposals to align with regional values.</w:t>
      </w:r>
    </w:p>
    <w:p>
      <w:pPr>
        <w:pStyle w:val="FirstParagraph"/>
      </w:pPr>
      <w:r>
        <w:t xml:space="preserve">This report underscores the importance of viewing graphic design not merely as an artistic endeavor but as a strategic discipline deeply embedded in the socio-economic fabric of its location.</w:t>
      </w:r>
    </w:p>
    <w:p>
      <w:pPr>
        <w:pStyle w:val="BodyText"/>
      </w:pPr>
      <w:r>
        <w:rPr>
          <w:bCs/>
          <w:b/>
        </w:rPr>
        <w:t xml:space="preserve">Note:</w:t>
      </w:r>
      <w:r>
        <w:t xml:space="preserve"> </w:t>
      </w:r>
      <w:r>
        <w:t xml:space="preserve">This</w:t>
      </w:r>
      <w:r>
        <w:t xml:space="preserve"> </w:t>
      </w:r>
      <w:r>
        <w:rPr>
          <w:bCs/>
          <w:b/>
        </w:rPr>
        <w:t xml:space="preserve">Laboratory Report</w:t>
      </w:r>
      <w:r>
        <w:t xml:space="preserve">Graphic DesignerGermany Berlin.</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Graphic Design Proficiency Analysis for Germany Berlin</dc:title>
  <dc:creator/>
  <dc:language>en</dc:language>
  <cp:keywords/>
  <dcterms:created xsi:type="dcterms:W3CDTF">2026-07-29T07:37:33Z</dcterms:created>
  <dcterms:modified xsi:type="dcterms:W3CDTF">2026-07-29T07:37:33Z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