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Graphic</w:t>
      </w:r>
      <w:r>
        <w:t xml:space="preserve"> </w:t>
      </w:r>
      <w:r>
        <w:t xml:space="preserve">Design</w:t>
      </w:r>
      <w:r>
        <w:t xml:space="preserve"> </w:t>
      </w:r>
      <w:r>
        <w:t xml:space="preserve">Analysis</w:t>
      </w:r>
      <w:r>
        <w:t xml:space="preserve"> </w:t>
      </w:r>
      <w:r>
        <w:t xml:space="preserve">in</w:t>
      </w:r>
      <w:r>
        <w:t xml:space="preserve"> </w:t>
      </w:r>
      <w:r>
        <w:t xml:space="preserve">Turkey</w:t>
      </w:r>
      <w:r>
        <w:t xml:space="preserve"> </w:t>
      </w:r>
      <w:r>
        <w:t xml:space="preserve">Ankara</w:t>
      </w:r>
    </w:p>
    <w:bookmarkStart w:id="33" w:name="X03531ba89b99a15769206399da88c2e153f021d"/>
    <w:p>
      <w:pPr>
        <w:pStyle w:val="Heading1"/>
      </w:pPr>
      <w:r>
        <w:t xml:space="preserve">Laboratory Report: The Role and Impact of the Graphic Designer in Turkey, Ankara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Urban Planning and Cultural Development Committee</w:t>
      </w:r>
      <w:r>
        <w:br/>
      </w:r>
    </w:p>
    <w:p>
      <w:pPr>
        <w:pStyle w:val="BodyText"/>
      </w:pPr>
      <w:r>
        <w:t xml:space="preserve">From:</w:t>
      </w:r>
    </w:p>
    <w:p>
      <w:pPr>
        <w:pStyle w:val="BodyText"/>
      </w:pPr>
      <w:r>
        <w:t xml:space="preserve">The following document serves as a comprehensive laboratory report analyzing the professional dynamics, cultural requirements, and economic impact of the Graphic Designer profession within the specific geopolitical and cultural context of Turkey, with a focused case study on its capital city, Ankara.</w:t>
      </w:r>
    </w:p>
    <w:bookmarkStart w:id="20" w:name="introduction"/>
    <w:p>
      <w:pPr>
        <w:pStyle w:val="Heading2"/>
      </w:pPr>
      <w:r>
        <w:t xml:space="preserve">1.0 Introduction</w:t>
      </w:r>
    </w:p>
    <w:p>
      <w:pPr>
        <w:pStyle w:val="FirstParagraph"/>
      </w:pPr>
      <w:r>
        <w:t xml:space="preserve">In modern urban environments, visual communication is not merely an aesthetic enhancement but a critical infrastructure for civic engagement and economic vitality. This lab report investigates the function of the Graphic Designer as a key agent in shaping the visual identity of Turkey, specifically within Ankara. As Turkey’s political and administrative heart, Ankara presents a unique intersection of historical heritage and rapid modernization. The Graphic Designer operates at this crossroads, translating complex socio-political narratives into accessible visual languages. This report aims to dissect the skills required, market demands in Ankara's competitive landscape, and the broader societal implications of high-quality graphic design in Turkish urban centers.</w:t>
      </w:r>
    </w:p>
    <w:bookmarkEnd w:id="20"/>
    <w:bookmarkStart w:id="21" w:name="methodology"/>
    <w:p>
      <w:pPr>
        <w:pStyle w:val="Heading2"/>
      </w:pPr>
      <w:r>
        <w:t xml:space="preserve">2.0 Methodology</w:t>
      </w:r>
    </w:p>
    <w:p>
      <w:pPr>
        <w:pStyle w:val="FirstParagraph"/>
      </w:pPr>
      <w:r>
        <w:t xml:space="preserve">The data for this report was gathered through a multi-faceted approach suitable for a qualitative laboratory analysis of professional ecosystems. Our methods included:</w:t>
      </w:r>
    </w:p>
    <w:p>
      <w:pPr>
        <w:numPr>
          <w:ilvl w:val="0"/>
          <w:numId w:val="1001"/>
        </w:numPr>
        <w:pStyle w:val="Compact"/>
      </w:pPr>
      <w:r>
        <w:rPr>
          <w:bCs/>
          <w:b/>
        </w:rPr>
        <w:t xml:space="preserve">Semi-Structured Interviews:</w:t>
      </w:r>
    </w:p>
    <w:p>
      <w:pPr>
        <w:numPr>
          <w:ilvl w:val="0"/>
          <w:numId w:val="1001"/>
        </w:numPr>
        <w:pStyle w:val="Compact"/>
      </w:pPr>
      <w:r>
        <w:rPr>
          <w:bCs/>
          <w:b/>
        </w:rPr>
        <w:t xml:space="preserve">Cultural Audit Analysis:</w:t>
      </w:r>
    </w:p>
    <w:p>
      <w:pPr>
        <w:numPr>
          <w:ilvl w:val="0"/>
          <w:numId w:val="1001"/>
        </w:numPr>
        <w:pStyle w:val="Compact"/>
      </w:pPr>
      <w:r>
        <w:t xml:space="preserve">An examination of public signage, digital media campaigns, and government publications in Ankara to assess current design trends and their effectiveness.</w:t>
      </w:r>
    </w:p>
    <w:p>
      <w:pPr>
        <w:numPr>
          <w:ilvl w:val="0"/>
          <w:numId w:val="1001"/>
        </w:numPr>
        <w:pStyle w:val="Compact"/>
      </w:pPr>
      <w:r>
        <w:rPr>
          <w:bCs/>
          <w:b/>
        </w:rPr>
        <w:t xml:space="preserve">Economic Data Review:</w:t>
      </w:r>
    </w:p>
    <w:p>
      <w:pPr>
        <w:numPr>
          <w:ilvl w:val="0"/>
          <w:numId w:val="1001"/>
        </w:numPr>
        <w:pStyle w:val="Compact"/>
      </w:pPr>
      <w:r>
        <w:t xml:space="preserve">A review of local industry reports regarding the creative economy in Turkey, focusing on growth projections for Ankara compared to Istanbul.</w:t>
      </w:r>
    </w:p>
    <w:bookmarkEnd w:id="21"/>
    <w:bookmarkStart w:id="24" w:name="X70d54d8cc660a4fee003d276e5d8270a37513a3"/>
    <w:p>
      <w:pPr>
        <w:pStyle w:val="Heading2"/>
      </w:pPr>
      <w:r>
        <w:t xml:space="preserve">3.0 The Role of the Graphic Designer in Ankara's Context</w:t>
      </w:r>
    </w:p>
    <w:p>
      <w:pPr>
        <w:pStyle w:val="FirstParagraph"/>
      </w:pPr>
      <w:r>
        <w:t xml:space="preserve">The Graphic Designer in Turkey is more than a visual artist; they are cultural translators. In Ankara, where the presence of government institutions, diplomatic corps, and educational universities creates a dense information environment, clarity and authority are paramount.</w:t>
      </w:r>
    </w:p>
    <w:bookmarkStart w:id="22" w:name="bridging-tradition-and-modernity"/>
    <w:p>
      <w:pPr>
        <w:pStyle w:val="Heading3"/>
      </w:pPr>
      <w:r>
        <w:t xml:space="preserve">3.1 Bridging Tradition and Modernity</w:t>
      </w:r>
    </w:p>
    <w:p>
      <w:pPr>
        <w:pStyle w:val="FirstParagraph"/>
      </w:pPr>
      <w:r>
        <w:t xml:space="preserve">A primary finding of this lab report is the unique demand placed on Graphic Designers in Ankara to balance Turkish cultural heritage with global design standards. Unlike Istanbul, which leans heavily towards international fashion and commercial trends, Ankara’s market demands designs that convey stability, trust, and historical continuity. The Graphic Designer must navigate the visual language of Ottoman motifs while utilizing minimalist Swiss-style layouts preferred in modern administrative communications. This duality requires a sophisticated understanding of both Turkish calligraphy aesthetics and contemporary digital typography.</w:t>
      </w:r>
    </w:p>
    <w:bookmarkEnd w:id="22"/>
    <w:bookmarkStart w:id="23" w:name="digital-transformation-in-public-sector"/>
    <w:p>
      <w:pPr>
        <w:pStyle w:val="Heading3"/>
      </w:pPr>
      <w:r>
        <w:t xml:space="preserve">3.2 Digital Transformation in Public Sector</w:t>
      </w:r>
    </w:p>
    <w:p>
      <w:pPr>
        <w:pStyle w:val="FirstParagraph"/>
      </w:pPr>
      <w:r>
        <w:t xml:space="preserve">Turkey has been undergoing a significant digital transformation, particularly evident in the public sector within Ankara. The Graphic Designer plays a crucial role in this shift by creating user-friendly interfaces for government services (e.g., e-Devlet applications) and digital public awareness campaigns. This aspect of the profession has seen a surge in demand over the last five years, requiring Graphic Designers to possess skills not only in print media but also in UI/UX design, motion graphics, and interactive web elements.</w:t>
      </w:r>
    </w:p>
    <w:bookmarkEnd w:id="23"/>
    <w:bookmarkEnd w:id="24"/>
    <w:bookmarkStart w:id="25" w:name="Xcd45603508d47c66e26f878ab9bc83c4da0fad5"/>
    <w:p>
      <w:pPr>
        <w:pStyle w:val="Heading2"/>
      </w:pPr>
      <w:r>
        <w:t xml:space="preserve">4.0 Market Analysis: Ankara vs. National Trends</w:t>
      </w:r>
    </w:p>
    <w:p>
      <w:pPr>
        <w:pStyle w:val="FirstParagraph"/>
      </w:pPr>
      <w:r>
        <w:t xml:space="preserve">The following table summarizes key differences observed between the general Turkish market and the specific demands of Ankara:</w:t>
      </w:r>
    </w:p>
    <w:p>
      <w:pPr>
        <w:pStyle w:val="BodyText"/>
      </w:pPr>
      <w:r>
        <w:t xml:space="preserve">Aspect</w:t>
      </w:r>
    </w:p>
    <w:p>
      <w:pPr>
        <w:pStyle w:val="BodyText"/>
      </w:pPr>
      <w:r>
        <w:t xml:space="preserve">National Turkey Context</w:t>
      </w:r>
    </w:p>
    <w:p>
      <w:pPr>
        <w:pStyle w:val="BodyText"/>
      </w:pPr>
      <w:r>
        <w:t xml:space="preserve">Ankara Specific Context</w:t>
      </w:r>
    </w:p>
    <w:p>
      <w:pPr>
        <w:pStyle w:val="BodyText"/>
      </w:pPr>
      <w:r>
        <w:t xml:space="preserve">Primary Industry Focus &lt; td&gt;Tourism, Fashion, E-commerce &lt; td&gt;Government, Defense, Education, Corporate</w:t>
      </w:r>
    </w:p>
    <w:p>
      <w:pPr>
        <w:pStyle w:val="BodyText"/>
      </w:pPr>
      <w:r>
        <w:t xml:space="preserve">Design Aesthetic Preference</w:t>
      </w:r>
    </w:p>
    <w:p>
      <w:pPr>
        <w:pStyle w:val="BodyText"/>
      </w:pPr>
      <w:r>
        <w:t xml:space="preserve">Vibrant, Colorful,</w:t>
      </w:r>
    </w:p>
    <w:p>
      <w:pPr>
        <w:pStyle w:val="BodyText"/>
      </w:pPr>
      <w:r>
        <w:t xml:space="preserve">Diverse</w:t>
      </w:r>
    </w:p>
    <w:p>
      <w:pPr>
        <w:pStyle w:val="BodyText"/>
      </w:pPr>
      <w:r>
        <w:t xml:space="preserve">Moderate Palette,</w:t>
      </w:r>
    </w:p>
    <w:p>
      <w:pPr>
        <w:pStyle w:val="BodyText"/>
      </w:pPr>
      <w:r>
        <w:rPr>
          <w:bCs/>
          <w:b/>
        </w:rPr>
        <w:t xml:space="preserve">Premium Branding,</w:t>
      </w:r>
      <w:r>
        <w:br/>
      </w:r>
      <w:r>
        <w:rPr>
          <w:iCs/>
          <w:i/>
          <w:bCs/>
          <w:b/>
        </w:rPr>
        <w:t xml:space="preserve">Clean and Authoritative</w:t>
      </w:r>
    </w:p>
    <w:p>
      <w:pPr>
        <w:pStyle w:val="BodyText"/>
      </w:pPr>
      <w:r>
        <w:t xml:space="preserve">Cultural Symbols Used</w:t>
      </w:r>
    </w:p>
    <w:p>
      <w:pPr>
        <w:pStyle w:val="BodyText"/>
      </w:pPr>
      <w:r>
        <w:t xml:space="preserve">Folkloric, Regional motifs</w:t>
      </w:r>
    </w:p>
    <w:p>
      <w:pPr>
        <w:pStyle w:val="BodyText"/>
      </w:pPr>
      <w:r>
        <w:t xml:space="preserve">National symbols,&lt; td &gt;Historical monuments (e.g., Anıtkabir)&lt; tr &gt;&lt; th &gt;Key Client Types &lt; td&gt;Small Businesses, Startups</w:t>
      </w:r>
    </w:p>
    <w:p>
      <w:pPr>
        <w:pStyle w:val="BodyText"/>
      </w:pPr>
      <w:r>
        <w:t xml:space="preserve">Ministries, NGOs, Universities</w:t>
      </w:r>
    </w:p>
    <w:bookmarkEnd w:id="25"/>
    <w:bookmarkStart w:id="28" w:name="challenges-and-constraints"/>
    <w:p>
      <w:pPr>
        <w:pStyle w:val="Heading2"/>
      </w:pPr>
      <w:r>
        <w:t xml:space="preserve">5.0 Challenges and Constraints</w:t>
      </w:r>
    </w:p>
    <w:p>
      <w:pPr>
        <w:pStyle w:val="FirstParagraph"/>
      </w:pPr>
      <w:r>
        <w:t xml:space="preserve">The lab report identifies several critical challenges facing Graphic Designers in Turkey’s capital:</w:t>
      </w:r>
    </w:p>
    <w:bookmarkStart w:id="26" w:name="economic-volatility-and-material-costs"/>
    <w:p>
      <w:pPr>
        <w:pStyle w:val="Heading3"/>
      </w:pPr>
      <w:r>
        <w:t xml:space="preserve">5.1 Economic Volatility and Material Costs</w:t>
      </w:r>
    </w:p>
    <w:p>
      <w:pPr>
        <w:pStyle w:val="FirstParagraph"/>
      </w:pPr>
      <w:r>
        <w:t xml:space="preserve">Inflation rates in Turkey have significantly impacted the cost of high-quality printing materials, software licenses, and hardware for Graphic Designers. In Ankara, where much of the work involves print-based official documents and large-scale billboards along major avenues such as Atatürk Boulevard, these costs are a substantial burden. Many Graphic Designers are forced to adapt by focusing more on digital deliverables to mitigate physical production costs.</w:t>
      </w:r>
    </w:p>
    <w:bookmarkEnd w:id="26"/>
    <w:bookmarkStart w:id="27" w:name="Xc98e094e48ebd9b2104e22f06635f51fd79ab98"/>
    <w:p>
      <w:pPr>
        <w:pStyle w:val="Heading3"/>
      </w:pPr>
      <w:r>
        <w:t xml:space="preserve">5.2 Intellectual Property and Copyright Issues</w:t>
      </w:r>
    </w:p>
    <w:p>
      <w:pPr>
        <w:pStyle w:val="FirstParagraph"/>
      </w:pPr>
      <w:r>
        <w:t xml:space="preserve">A persistent issue in the Turkish market is the lack of strict enforcement regarding intellectual property rights for Graphic Designers. Plagiarism and unauthorized use of assets are common, leading many professionals in Ankara to advocate for stronger legal frameworks to protect their creative output. This environment complicates negotiations with local clients who may undervalue original design work.</w:t>
      </w:r>
    </w:p>
    <w:bookmarkEnd w:id="27"/>
    <w:bookmarkEnd w:id="28"/>
    <w:bookmarkStart w:id="30" w:name="Xe288ee37253453b9f2bdc9d9ad890005b1c117c"/>
    <w:p>
      <w:pPr>
        <w:pStyle w:val="Heading2"/>
      </w:pPr>
      <w:r>
        <w:t xml:space="preserve">6.0 Societal Impact and Cultural Contribution</w:t>
      </w:r>
    </w:p>
    <w:p>
      <w:pPr>
        <w:pStyle w:val="FirstParagraph"/>
      </w:pPr>
      <w:r>
        <w:t xml:space="preserve">The impact of the Graphic Designer extends beyond commercial success; it shapes the civic identity of Ankara. Effective graphic communication facilitates better governance by making public information accessible to all citizens, including those with limited literacy or language barriers through the use of universal iconography.</w:t>
      </w:r>
    </w:p>
    <w:bookmarkStart w:id="29" w:name="enhancing-civic-pride"/>
    <w:p>
      <w:pPr>
        <w:pStyle w:val="Heading3"/>
      </w:pPr>
      <w:r>
        <w:t xml:space="preserve">6.1 Enhancing Civic Pride</w:t>
      </w:r>
    </w:p>
    <w:p>
      <w:pPr>
        <w:pStyle w:val="FirstParagraph"/>
      </w:pPr>
      <w:r>
        <w:t xml:space="preserve">Campaigns designed by local Graphic Designers that highlight Ankara’s role as a multicultural hub—celebrating its diverse population and historical significance—help foster a sense of community belonging. When Graphic Designers incorporate local narratives into their work, they contribute to the soft power of Turkey, projecting an image of openness and modernity to both domestic and international audiences.</w:t>
      </w:r>
    </w:p>
    <w:bookmarkEnd w:id="29"/>
    <w:bookmarkEnd w:id="30"/>
    <w:bookmarkStart w:id="31" w:name="recommendations"/>
    <w:p>
      <w:pPr>
        <w:pStyle w:val="Heading2"/>
      </w:pPr>
      <w:r>
        <w:t xml:space="preserve">7.0 Recommendations</w:t>
      </w:r>
    </w:p>
    <w:p>
      <w:pPr>
        <w:pStyle w:val="FirstParagraph"/>
      </w:pPr>
      <w:r>
        <w:t xml:space="preserve">Based on the findings from this laboratory report on the Graphic Designer’s role in Turkey Ankara, we propose the following recommendations for stakeholders:</w:t>
      </w:r>
    </w:p>
    <w:p>
      <w:pPr>
        <w:numPr>
          <w:ilvl w:val="0"/>
          <w:numId w:val="1002"/>
        </w:numPr>
        <w:pStyle w:val="Compact"/>
      </w:pPr>
      <w:r>
        <w:rPr>
          <w:bCs/>
          <w:b/>
        </w:rPr>
        <w:t xml:space="preserve">Educational Integration:</w:t>
      </w:r>
      <w:r>
        <w:t xml:space="preserve"> </w:t>
      </w:r>
      <w:r>
        <w:t xml:space="preserve">Ankara-based universities should enhance their graphic design curricula to include modules on Turkish cultural history and digital civic communication.</w:t>
      </w:r>
    </w:p>
    <w:p>
      <w:pPr>
        <w:numPr>
          <w:ilvl w:val="0"/>
          <w:numId w:val="1002"/>
        </w:numPr>
        <w:pStyle w:val="Compact"/>
      </w:pPr>
      <w:r>
        <w:rPr>
          <w:bCs/>
          <w:b/>
        </w:rPr>
        <w:t xml:space="preserve">Copyright Advocacy:</w:t>
      </w:r>
      <w:r>
        <w:t xml:space="preserve"> </w:t>
      </w:r>
      <w:r>
        <w:t xml:space="preserve">The government of Turkey Ankara should strengthen enforcement mechanisms for intellectual property rights to protect the livelihoods of Graphic Designers.</w:t>
      </w:r>
    </w:p>
    <w:p>
      <w:pPr>
        <w:numPr>
          <w:ilvl w:val="0"/>
          <w:numId w:val="1002"/>
        </w:numPr>
      </w:pPr>
      <w:r>
        <w:rPr>
          <w:bCs/>
          <w:b/>
        </w:rPr>
        <w:t xml:space="preserve">Digital Infrastructure Support:</w:t>
      </w:r>
    </w:p>
    <w:p>
      <w:pPr>
        <w:numPr>
          <w:ilvl w:val="0"/>
          <w:numId w:val="1000"/>
        </w:numPr>
      </w:pPr>
      <w:r>
        <w:t xml:space="preserve">Incentivize small and medium-sized enterprises in Ankara to adopt high-quality digital branding by providing tax breaks for hiring certified local Graphic Designers.</w:t>
      </w:r>
    </w:p>
    <w:bookmarkEnd w:id="31"/>
    <w:bookmarkStart w:id="32" w:name="conclusion"/>
    <w:p>
      <w:pPr>
        <w:pStyle w:val="Heading2"/>
      </w:pPr>
      <w:r>
        <w:t xml:space="preserve">8.0 Conclusion</w:t>
      </w:r>
    </w:p>
    <w:p>
      <w:pPr>
        <w:pStyle w:val="FirstParagraph"/>
      </w:pPr>
      <w:r>
        <w:t xml:space="preserve">The Graphic Designer is a vital component of Ankara’s evolving urban fabric. In Turkey, where the weight of history meets the aspirations of the future, this profession requires a nuanced approach that respects tradition while embracing innovation. The data collected in this report confirms that demand for skilled Graphic Designers in Ankara is growing, driven by both public sector modernization and private sector globalization. By supporting these professionals through education and legal protection, Turkey can ensure that its capital city remains a beacon of creative excellence and effective visual communication.</w:t>
      </w:r>
    </w:p>
    <w:p>
      <w:pPr>
        <w:pStyle w:val="BodyText"/>
      </w:pPr>
      <w:r>
        <w:t xml:space="preserve">This laboratory report underscores the necessity of viewing Graphic Design not as a peripheral service, but as a central pillar in the development of Ankara’s cultural and economic landscape in Turkey.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Graphic Design Analysis in Turkey Ankara</dc:title>
  <dc:creator/>
  <dc:language>en</dc:language>
  <cp:keywords/>
  <dcterms:created xsi:type="dcterms:W3CDTF">2026-07-29T04:48:14Z</dcterms:created>
  <dcterms:modified xsi:type="dcterms:W3CDTF">2026-07-29T04:48:14Z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