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Designer</w:t>
      </w:r>
      <w:r>
        <w:t xml:space="preserve"> </w:t>
      </w:r>
      <w:r>
        <w:t xml:space="preserve">Role</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980b540c2f7d8fa7c0dfd655aac0dfb6117dd36"/>
    <w:p>
      <w:pPr>
        <w:pStyle w:val="Heading1"/>
      </w:pPr>
      <w:r>
        <w:t xml:space="preserve">Laboratory Report on the Professional Profile and Operational Dynamics of a Graphic Designer within the United Kingdom Birmingham Context</w:t>
      </w:r>
    </w:p>
    <w:p>
      <w:pPr>
        <w:pStyle w:val="FirstParagraph"/>
      </w:pPr>
      <w:r>
        <w:rPr>
          <w:bCs/>
          <w:b/>
        </w:rPr>
        <w:t xml:space="preserve">Date:</w:t>
      </w:r>
      <w:r>
        <w:t xml:space="preserve"> </w:t>
      </w:r>
      <w:r>
        <w:t xml:space="preserve">October 26, 2023</w:t>
      </w:r>
      <w:r>
        <w:br/>
      </w:r>
      <w:r>
        <w:rPr>
          <w:bCs/>
          <w:b/>
        </w:rPr>
        <w:t xml:space="preserve">Subject:</w:t>
      </w:r>
      <w:r>
        <w:rPr>
          <w:iCs/>
          <w:i/>
        </w:rPr>
        <w:t xml:space="preserve">Note: This is a formal analysis document.</w:t>
      </w:r>
      <w:r>
        <w:br/>
      </w:r>
    </w:p>
    <w:p>
      <w:pPr>
        <w:pStyle w:val="BodyText"/>
      </w:pPr>
      <w:r>
        <w:t xml:space="preserve">To:**</w:t>
      </w:r>
      <w:r>
        <w:br/>
      </w:r>
      <w:r>
        <w:t xml:space="preserve">The following report details the comprehensive analysis of the role of a Graphic Designer, specifically tailored to the unique economic and cultural landscape of Birmingham, United Kingdom. It examines skill requirements, market expectations, regulatory standards,</w:t>
      </w:r>
      <w:r>
        <w:rPr>
          <w:bCs/>
          <w:b/>
        </w:rPr>
        <w:t xml:space="preserve">Stakeholder Analysis Group</w:t>
      </w:r>
      <w:r>
        <w:br/>
      </w:r>
      <w:r>
        <w:rPr>
          <w:bCs/>
          <w:b/>
        </w:rPr>
        <w:t xml:space="preserve">From:</w:t>
      </w:r>
      <w:r>
        <w:t xml:space="preserve"> </w:t>
      </w:r>
      <w:r>
        <w:t xml:space="preserve">Senior Research Analyst</w:t>
      </w:r>
      <w:r>
        <w:br/>
      </w:r>
    </w:p>
    <w:bookmarkStart w:id="28" w:name="note-this-is-a-formal-analysis-document."/>
    <w:p>
      <w:pPr>
        <w:pStyle w:val="Heading2"/>
      </w:pPr>
      <w:r>
        <w:rPr>
          <w:iCs/>
          <w:i/>
        </w:rPr>
        <w:t xml:space="preserve">Note: This is a formal analysis document.</w:t>
      </w:r>
    </w:p>
    <w:bookmarkStart w:id="20" w:name="introduction-and-objective"/>
    <w:p>
      <w:pPr>
        <w:pStyle w:val="Heading3"/>
      </w:pPr>
      <w:r>
        <w:t xml:space="preserve">1. Introduction and Objective</w:t>
      </w:r>
    </w:p>
    <w:p>
      <w:pPr>
        <w:pStyle w:val="FirstParagraph"/>
      </w:pPr>
      <w:r>
        <w:t xml:space="preserve">The primary objective of this report is to define, analyze, and document the critical competencies required for a</w:t>
      </w:r>
      <w:r>
        <w:t xml:space="preserve"> </w:t>
      </w:r>
      <w:r>
        <w:rPr>
          <w:bCs/>
          <w:b/>
        </w:rPr>
        <w:t xml:space="preserve">Graphic Designer</w:t>
      </w:r>
      <w:r>
        <w:t xml:space="preserve"> </w:t>
      </w:r>
      <w:r>
        <w:t xml:space="preserve">operating within the specific geographic and economic jurisdiction of</w:t>
      </w:r>
      <w:r>
        <w:t xml:space="preserve"> </w:t>
      </w:r>
      <w:r>
        <w:rPr>
          <w:bCs/>
          <w:b/>
        </w:rPr>
        <w:t xml:space="preserve">Birmingham, United Kingdom</w:t>
      </w:r>
      <w:r>
        <w:t xml:space="preserve">. While graphic design is a universal discipline, its application in Birmingham presents distinct challenges and opportunities due to the city's status as the second-largest metropolitan area in the UK. This report serves as a benchmark for employers and employees alike to understand how local market dynamics influence design outputs.</w:t>
      </w:r>
    </w:p>
    <w:bookmarkEnd w:id="20"/>
    <w:bookmarkStart w:id="21" w:name="X33fce186f7ca999ddbcae24f99dec12ef294eb6"/>
    <w:p>
      <w:pPr>
        <w:pStyle w:val="Heading3"/>
      </w:pPr>
      <w:r>
        <w:t xml:space="preserve">2. Regional Context: Birmingham’s Creative Economy</w:t>
      </w:r>
    </w:p>
    <w:p>
      <w:pPr>
        <w:pStyle w:val="FirstParagraph"/>
      </w:pPr>
      <w:r>
        <w:t xml:space="preserve">Birmingham, located in the West Midlands of the</w:t>
      </w:r>
      <w:r>
        <w:t xml:space="preserve"> </w:t>
      </w:r>
      <w:r>
        <w:rPr>
          <w:bCs/>
          <w:b/>
        </w:rPr>
        <w:t xml:space="preserve">United Kingdom</w:t>
      </w:r>
      <w:r>
        <w:t xml:space="preserve">, has undergone significant regeneration over the past decade. The city is no longer just an industrial hub but has emerged as a leading center for digital creativity and media production. For a</w:t>
      </w:r>
      <w:r>
        <w:t xml:space="preserve"> </w:t>
      </w:r>
      <w:r>
        <w:rPr>
          <w:bCs/>
          <w:b/>
        </w:rPr>
        <w:t xml:space="preserve">Graphic Designer</w:t>
      </w:r>
      <w:r>
        <w:t xml:space="preserve">, this environment demands versatility. Unlike London, which often focuses on high-end luxury or global corporate branding, the Birmingham market is heavily influenced by small-to-medium enterprises (SMEs), public sector initiatives, and cultural institutions.</w:t>
      </w:r>
    </w:p>
    <w:p>
      <w:pPr>
        <w:pStyle w:val="BodyText"/>
      </w:pPr>
      <w:r>
        <w:t xml:space="preserve">The presence of major entities such as the Bullring &amp; Grand Central development and the ongoing expansion of the Eastside City District means that local designers must balance heritage aesthetics with modernist trends. The "Birmingham Look" is increasingly characterized by bold, inclusive imagery that reflects the city's diverse population, which is one of the most ethnically diverse in Europe.</w:t>
      </w:r>
    </w:p>
    <w:bookmarkEnd w:id="21"/>
    <w:bookmarkStart w:id="22" w:name="competency-framework-analysis"/>
    <w:p>
      <w:pPr>
        <w:pStyle w:val="Heading3"/>
      </w:pPr>
      <w:r>
        <w:t xml:space="preserve">3. Competency Framework Analysis</w:t>
      </w:r>
    </w:p>
    <w:p>
      <w:pPr>
        <w:pStyle w:val="FirstParagraph"/>
      </w:pPr>
      <w:r>
        <w:t xml:space="preserve">To succeed as a</w:t>
      </w:r>
      <w:r>
        <w:t xml:space="preserve"> </w:t>
      </w:r>
      <w:r>
        <w:rPr>
          <w:bCs/>
          <w:b/>
        </w:rPr>
        <w:t xml:space="preserve">Graphic Designer</w:t>
      </w:r>
      <w:r>
        <w:br/>
      </w:r>
      <w:r>
        <w:t xml:space="preserve">in this region, specific technical and soft skills have been identified through industry surveys and job market analysis. The following table outlines the core competencies:</w:t>
      </w:r>
    </w:p>
    <w:p>
      <w:pPr>
        <w:pStyle w:val="BodyText"/>
      </w:pPr>
      <w:r>
        <w:t xml:space="preserve">Competency Category</w:t>
      </w:r>
    </w:p>
    <w:p>
      <w:pPr>
        <w:pStyle w:val="BodyText"/>
      </w:pPr>
      <w:r>
        <w:t xml:space="preserve">Skill Description</w:t>
      </w:r>
    </w:p>
    <w:p>
      <w:pPr>
        <w:pStyle w:val="BodyText"/>
      </w:pPr>
      <w:r>
        <w:rPr>
          <w:bCs/>
          <w:b/>
        </w:rPr>
        <w:t xml:space="preserve">Technical Proficiency</w:t>
      </w:r>
    </w:p>
    <w:p>
      <w:pPr>
        <w:pStyle w:val="BodyText"/>
      </w:pPr>
      <w:r>
        <w:t xml:space="preserve">Mastery of Adobe Creative Cloud (Photoshop, Illustrator, InDesign) is non-negotiable. Additionally, familiarity with Figma or Sketch for UI/UX collaboration is increasingly required due to the digital transformation of Birmingham-based firms.</w:t>
      </w:r>
    </w:p>
    <w:p>
      <w:pPr>
        <w:pStyle w:val="BodyText"/>
      </w:pPr>
      <w:r>
        <w:rPr>
          <w:bCs/>
          <w:b/>
        </w:rPr>
        <w:t xml:space="preserve">Local Market Awareness</w:t>
      </w:r>
    </w:p>
    <w:p>
      <w:pPr>
        <w:pStyle w:val="BodyText"/>
      </w:pPr>
      <w:r>
        <w:t xml:space="preserve">Understanding the visual language that resonates with Birmingham residents. This includes culturally sensitive design choices that respect the city's multicultural demographic, particularly its large South Asian and Caribbean communities.</w:t>
      </w:r>
    </w:p>
    <w:p>
      <w:pPr>
        <w:pStyle w:val="BodyText"/>
      </w:pPr>
      <w:r>
        <w:br/>
      </w:r>
      <w:r>
        <w:br/>
      </w:r>
    </w:p>
    <w:bookmarkEnd w:id="22"/>
    <w:bookmarkStart w:id="23" w:name="regulatory-and-ethical-standards"/>
    <w:p>
      <w:pPr>
        <w:pStyle w:val="Heading3"/>
      </w:pPr>
      <w:r>
        <w:t xml:space="preserve">4. Regulatory and Ethical Standards</w:t>
      </w:r>
    </w:p>
    <w:p>
      <w:pPr>
        <w:pStyle w:val="FirstParagraph"/>
      </w:pPr>
      <w:r>
        <w:t xml:space="preserve">In the United Kingdom, graphic designers must adhere to strict regulatory frameworks. The most critical aspect for a</w:t>
      </w:r>
      <w:r>
        <w:t xml:space="preserve"> </w:t>
      </w:r>
      <w:r>
        <w:rPr>
          <w:bCs/>
          <w:b/>
        </w:rPr>
        <w:t xml:space="preserve">Graphic Designer</w:t>
      </w:r>
      <w:r>
        <w:br/>
      </w:r>
      <w:r>
        <w:t xml:space="preserve">in Birmingham is compliance with the UK Advertising Standards Authority (ASA) guidelines. Misleading advertising claims, inappropriate use of imagery, and failure to ensure accessibility are common pitfalls.</w:t>
      </w:r>
    </w:p>
    <w:p>
      <w:pPr>
        <w:pStyle w:val="BodyText"/>
      </w:pPr>
      <w:r>
        <w:t xml:space="preserve">Furthermore, adherence to Web Content Accessibility Guidelines (WCAG) is not merely a best practice in Birmingham but often a legal requirement for companies dealing with public sector contracts. The Public Sector Bodies (Websites and Mobile Applications) (No. 2) Accessibility Regulations 2018 mandate that digital designs are accessible to people with disabilities. Therefore, the</w:t>
      </w:r>
      <w:r>
        <w:t xml:space="preserve"> </w:t>
      </w:r>
      <w:r>
        <w:rPr>
          <w:bCs/>
          <w:b/>
        </w:rPr>
        <w:t xml:space="preserve">Graphic Designer</w:t>
      </w:r>
      <w:r>
        <w:br/>
      </w:r>
      <w:r>
        <w:t xml:space="preserve">must possess knowledge of color contrast ratios, alt-text implementation, and semantic HTML structures.</w:t>
      </w:r>
    </w:p>
    <w:p>
      <w:pPr>
        <w:pStyle w:val="BodyText"/>
      </w:pPr>
      <w:r>
        <w:t xml:space="preserve">Data protection is another critical area. With the UK General Data Protection Regulation (UK GDPR), designers handling user data in UI designs must ensure that privacy notices are clear and consent mechanisms are designed intuitively without compromising user experience.</w:t>
      </w:r>
    </w:p>
    <w:bookmarkEnd w:id="23"/>
    <w:bookmarkStart w:id="24" w:name="industry-trends-specific-to-birmingham"/>
    <w:p>
      <w:pPr>
        <w:pStyle w:val="Heading3"/>
      </w:pPr>
      <w:r>
        <w:t xml:space="preserve">5. Industry Trends Specific to Birmingham</w:t>
      </w:r>
    </w:p>
    <w:p>
      <w:pPr>
        <w:pStyle w:val="FirstParagraph"/>
      </w:pPr>
      <w:r>
        <w:rPr>
          <w:bCs/>
          <w:b/>
        </w:rPr>
        <w:t xml:space="preserve">a) The Rise of Hybrid Workspaces:</w:t>
      </w:r>
      <w:r>
        <w:br/>
      </w:r>
      <w:r>
        <w:t xml:space="preserve">Following the post-pandemic shift, many Birmingham-based design agencies have adopted hybrid working models. This requires a</w:t>
      </w:r>
      <w:r>
        <w:t xml:space="preserve"> </w:t>
      </w:r>
      <w:r>
        <w:rPr>
          <w:bCs/>
          <w:b/>
        </w:rPr>
        <w:t xml:space="preserve">Graphic Designer</w:t>
      </w:r>
      <w:r>
        <w:br/>
      </w:r>
      <w:r>
        <w:t xml:space="preserve">to be proficient in remote collaboration tools such as Slack, Microsoft Teams, and cloud-based proofing software. The ability to communicate design rationale effectively over video calls is now as important as the visual output itself.</w:t>
      </w:r>
    </w:p>
    <w:p>
      <w:pPr>
        <w:pStyle w:val="BodyText"/>
      </w:pPr>
      <w:r>
        <w:rPr>
          <w:bCs/>
          <w:b/>
        </w:rPr>
        <w:t xml:space="preserve">b) Sustainability and Green Design:</w:t>
      </w:r>
      <w:r>
        <w:br/>
      </w:r>
      <w:r>
        <w:t xml:space="preserve">Birmingham has set ambitious net-zero targets. Consequently, there is a growing demand for</w:t>
      </w:r>
      <w:r>
        <w:t xml:space="preserve"> </w:t>
      </w:r>
      <w:r>
        <w:rPr>
          <w:bCs/>
          <w:b/>
        </w:rPr>
        <w:t xml:space="preserve">Graphic Designer</w:t>
      </w:r>
      <w:r>
        <w:t xml:space="preserve">s who understand sustainable printing practices (using soy-based inks, recycled paper) and digital carbon footprint reduction. Clients are increasingly asking for designs that minimize waste in physical production.</w:t>
      </w:r>
    </w:p>
    <w:p>
      <w:pPr>
        <w:pStyle w:val="BodyText"/>
      </w:pPr>
      <w:r>
        <w:rPr>
          <w:bCs/>
          <w:b/>
        </w:rPr>
        <w:t xml:space="preserve">c) Cultural Festivals and Events:</w:t>
      </w:r>
      <w:r>
        <w:br/>
      </w:r>
      <w:r>
        <w:t xml:space="preserve">With major events like the Birmingham International Jazz Festival and the Birmingham Pride, there is a cyclical demand for event branding. A successful local designer must be able to create versatile brand identities that can be adapted for digital banners, physical posters, merchandise, and social media campaigns simultaneously.</w:t>
      </w:r>
    </w:p>
    <w:bookmarkEnd w:id="24"/>
    <w:bookmarkStart w:id="25" w:name="challenges-and-mitigation-strategies"/>
    <w:p>
      <w:pPr>
        <w:pStyle w:val="Heading3"/>
      </w:pPr>
      <w:r>
        <w:t xml:space="preserve">6. Challenges and Mitigation Strategies</w:t>
      </w:r>
    </w:p>
    <w:p>
      <w:pPr>
        <w:pStyle w:val="FirstParagraph"/>
      </w:pPr>
      <w:r>
        <w:rPr>
          <w:bCs/>
          <w:b/>
        </w:rPr>
        <w:t xml:space="preserve">Budget Constraints:</w:t>
      </w:r>
      <w:r>
        <w:br/>
      </w:r>
      <w:r>
        <w:t xml:space="preserve">Unlike the London market where budgets may be unlimited, Birmingham SMEs often operate with tighter margins. A</w:t>
      </w:r>
      <w:r>
        <w:t xml:space="preserve"> </w:t>
      </w:r>
      <w:r>
        <w:rPr>
          <w:bCs/>
          <w:b/>
        </w:rPr>
        <w:t xml:space="preserve">Graphic Designer</w:t>
      </w:r>
      <w:r>
        <w:br/>
      </w:r>
      <w:r>
        <w:t xml:space="preserve">must therefore demonstrate efficiency and creativity within budget constraints. This involves prioritizing high-impact visuals and using scalable vector graphics (SVGs) that remain crisp across all devices without requiring expensive re-rendering.</w:t>
      </w:r>
    </w:p>
    <w:p>
      <w:pPr>
        <w:pStyle w:val="BodyText"/>
      </w:pPr>
      <w:r>
        <w:rPr>
          <w:bCs/>
          <w:b/>
        </w:rPr>
        <w:t xml:space="preserve">Talent Competition:</w:t>
      </w:r>
      <w:r>
        <w:br/>
      </w:r>
      <w:r>
        <w:t xml:space="preserve">While Birmingham is competitive, it faces competition from remote workers based in other regions. To maintain relevance, a local</w:t>
      </w:r>
      <w:r>
        <w:t xml:space="preserve"> </w:t>
      </w:r>
      <w:r>
        <w:rPr>
          <w:bCs/>
          <w:b/>
        </w:rPr>
        <w:t xml:space="preserve">Graphic Designer</w:t>
      </w:r>
      <w:r>
        <w:br/>
      </w:r>
      <w:r>
        <w:t xml:space="preserve">must leverage their physical presence for face-to-face client meetings and networking events at venues like the Digbeth Dining Club or the Mailbox.</w:t>
      </w:r>
    </w:p>
    <w:bookmarkEnd w:id="25"/>
    <w:bookmarkStart w:id="26" w:name="conclusion"/>
    <w:p>
      <w:pPr>
        <w:pStyle w:val="Heading3"/>
      </w:pPr>
      <w:r>
        <w:t xml:space="preserve">7. Conclusion</w:t>
      </w:r>
    </w:p>
    <w:p>
      <w:pPr>
        <w:pStyle w:val="FirstParagraph"/>
      </w:pPr>
      <w:r>
        <w:t xml:space="preserve">This report confirms that the role of a</w:t>
      </w:r>
      <w:r>
        <w:t xml:space="preserve"> </w:t>
      </w:r>
      <w:r>
        <w:rPr>
          <w:bCs/>
          <w:b/>
        </w:rPr>
        <w:t xml:space="preserve">Graphic Designer</w:t>
      </w:r>
      <w:r>
        <w:br/>
      </w:r>
      <w:r>
        <w:t xml:space="preserve">in Birmingham is multifaceted and deeply rooted in local socio-economic factors. It is not enough to be visually competent; one must also understand the regulatory landscape of the United Kingdom, specifically regarding accessibility and data privacy. The unique cultural fabric of Birmingham demands designs that are inclusive, sustainable, and commercially viable.</w:t>
      </w:r>
    </w:p>
    <w:p>
      <w:pPr>
        <w:pStyle w:val="BodyText"/>
      </w:pPr>
      <w:r>
        <w:t xml:space="preserve">For organizations operating in or relocating to Birmingham, investing in a local</w:t>
      </w:r>
      <w:r>
        <w:t xml:space="preserve"> </w:t>
      </w:r>
      <w:r>
        <w:rPr>
          <w:bCs/>
          <w:b/>
        </w:rPr>
        <w:t xml:space="preserve">Graphic Designer</w:t>
      </w:r>
      <w:r>
        <w:br/>
      </w:r>
      <w:r>
        <w:t xml:space="preserve">with these specific competencies will yield higher engagement rates and stronger brand loyalty among the diverse local population. Conversely, for professionals seeking employment in this region, upskilling in accessibility standards and sustainable design practices is recommended to remain competitive.</w:t>
      </w:r>
    </w:p>
    <w:bookmarkEnd w:id="26"/>
    <w:bookmarkStart w:id="27" w:name="references-and-further-reading"/>
    <w:p>
      <w:pPr>
        <w:pStyle w:val="Heading3"/>
      </w:pPr>
      <w:r>
        <w:t xml:space="preserve">8. References and Further Reading</w:t>
      </w:r>
    </w:p>
    <w:p>
      <w:pPr>
        <w:numPr>
          <w:ilvl w:val="0"/>
          <w:numId w:val="1001"/>
        </w:numPr>
        <w:pStyle w:val="Compact"/>
      </w:pPr>
      <w:r>
        <w:br/>
      </w:r>
      <w:r>
        <w:t xml:space="preserve">Department for Digital, Culture, Media &amp; Sport (DCMS) - Creative Industries Economic Estimates.</w:t>
      </w:r>
      <w:r>
        <w:br/>
      </w:r>
    </w:p>
    <w:p>
      <w:pPr>
        <w:pStyle w:val="FirstParagraph"/>
      </w:pPr>
      <w:r>
        <w:rPr>
          <w:iCs/>
          <w:i/>
        </w:rPr>
        <w:t xml:space="preserve">This document was generated to provide a comprehensive overview of the Graphic Designer role within the United Kingdom Birmingham context, ensuring all stakeholders are informed of the critical success factors in this vibrant creative hub.</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Designer Role Analysis in United Kingdom Birmingham</dc:title>
  <dc:creator/>
  <dc:language>en</dc:language>
  <cp:keywords/>
  <dcterms:created xsi:type="dcterms:W3CDTF">2026-07-30T06:17:22Z</dcterms:created>
  <dcterms:modified xsi:type="dcterms:W3CDTF">2026-07-30T06:17:22Z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