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Iraq</w:t>
      </w:r>
      <w:r>
        <w:t xml:space="preserve"> </w:t>
      </w:r>
      <w:r>
        <w:t xml:space="preserve">Baghdad</w:t>
      </w:r>
    </w:p>
    <w:bookmarkStart w:id="27" w:name="Xf09f73d8edcc8e50d6680c768340e98011cb0c1"/>
    <w:p>
      <w:pPr>
        <w:pStyle w:val="Heading1"/>
      </w:pPr>
      <w:r>
        <w:t xml:space="preserve">Lab Report: Strategic Implementation of Human Resources Management in Iraq Baghdad</w:t>
      </w:r>
    </w:p>
    <w:p>
      <w:pPr>
        <w:pStyle w:val="FirstParagraph"/>
      </w:pPr>
      <w:r>
        <w:rPr>
          <w:bCs/>
          <w:b/>
        </w:rPr>
        <w:t xml:space="preserve">Date:</w:t>
      </w:r>
      <w:r>
        <w:t xml:space="preserve"> </w:t>
      </w:r>
      <w:r>
        <w:t xml:space="preserve">October 26, 2023</w:t>
      </w:r>
      <w:r>
        <w:br/>
      </w:r>
      <w:r>
        <w:rPr>
          <w:iCs/>
          <w:i/>
        </w:rPr>
        <w:t xml:space="preserve">Bureau of International Labor Affairs, Washington D.C.</w:t>
      </w:r>
      <w:r>
        <w:br/>
      </w:r>
      <w:r>
        <w:t xml:space="preserve">A comprehensive analysis of the operational dynamics, cultural nuances, and strategic requirements for a Human Resources Manager operating within the complex economic and social landscape of Iraq Baghdad.</w:t>
      </w:r>
      <w:r>
        <w:br/>
      </w:r>
    </w:p>
    <w:bookmarkStart w:id="20" w:name="introduction"/>
    <w:p>
      <w:pPr>
        <w:pStyle w:val="Heading2"/>
      </w:pPr>
      <w:r>
        <w:t xml:space="preserve">1.0 Introduction</w:t>
      </w:r>
    </w:p>
    <w:p>
      <w:pPr>
        <w:pStyle w:val="FirstParagraph"/>
      </w:pPr>
      <w:r>
        <w:t xml:space="preserve">The role of a Human Resources (HR) Manager is rarely static; it is heavily influenced by regional legal frameworks, cultural norms, and economic stability. This report serves as a "lab" analysis of the HR function specifically tailored to the context of</w:t>
      </w:r>
      <w:r>
        <w:t xml:space="preserve"> </w:t>
      </w:r>
      <w:r>
        <w:rPr>
          <w:bCs/>
          <w:b/>
        </w:rPr>
        <w:t xml:space="preserve">Iraq Baghdad</w:t>
      </w:r>
      <w:r>
        <w:t xml:space="preserve">. In this dynamic capital city, which serves as the political and economic heart of Iraq, HR professionals must navigate a unique intersection of post-conflict reconstruction efforts, traditional tribal social structures, and modernizing corporate standards.</w:t>
      </w:r>
    </w:p>
    <w:p>
      <w:pPr>
        <w:pStyle w:val="BodyText"/>
      </w:pPr>
      <w:r>
        <w:t xml:space="preserve">The primary objective of this report is to define the specific competencies required for a Human Resources Manager in</w:t>
      </w:r>
      <w:r>
        <w:t xml:space="preserve"> </w:t>
      </w:r>
      <w:r>
        <w:rPr>
          <w:bCs/>
          <w:b/>
        </w:rPr>
        <w:t xml:space="preserve">Iraq Baghdad</w:t>
      </w:r>
      <w:r>
        <w:t xml:space="preserve">. It examines the legal environment, recruitment challenges involving youth unemployment and brain drain, compensation strategies amidst inflationary pressures, and the critical importance of cultural intelligence. By treating this scenario as a controlled laboratory environment, we can isolate key variables that contribute to successful HR outcomes in this specific geographic region.</w:t>
      </w:r>
    </w:p>
    <w:bookmarkEnd w:id="20"/>
    <w:bookmarkStart w:id="21" w:name="objective"/>
    <w:p>
      <w:pPr>
        <w:pStyle w:val="Heading2"/>
      </w:pPr>
      <w:r>
        <w:t xml:space="preserve">2.0 Objective</w:t>
      </w:r>
    </w:p>
    <w:p>
      <w:pPr>
        <w:pStyle w:val="FirstParagraph"/>
      </w:pPr>
      <w:r>
        <w:t xml:space="preserve">To determine the essential operational framework for a Human Resources Manager in</w:t>
      </w:r>
      <w:r>
        <w:t xml:space="preserve"> </w:t>
      </w:r>
      <w:r>
        <w:rPr>
          <w:bCs/>
          <w:b/>
        </w:rPr>
        <w:t xml:space="preserve">Iraq Baghdad</w:t>
      </w:r>
      <w:r>
        <w:t xml:space="preserve">, focusing on:</w:t>
      </w:r>
    </w:p>
    <w:p>
      <w:pPr>
        <w:numPr>
          <w:ilvl w:val="0"/>
          <w:numId w:val="1001"/>
        </w:numPr>
        <w:pStyle w:val="Compact"/>
      </w:pPr>
      <w:r>
        <w:t xml:space="preserve">Navigating the Iraqi Labor Law of 1987 and its modern interpretations.</w:t>
      </w:r>
    </w:p>
    <w:p>
      <w:pPr>
        <w:numPr>
          <w:ilvl w:val="0"/>
          <w:numId w:val="1001"/>
        </w:numPr>
        <w:pStyle w:val="Compact"/>
      </w:pPr>
      <w:r>
        <w:t xml:space="preserve">Balancing international corporate standards with local cultural expectations.</w:t>
      </w:r>
    </w:p>
    <w:p>
      <w:pPr>
        <w:numPr>
          <w:ilvl w:val="0"/>
          <w:numId w:val="1001"/>
        </w:numPr>
        <w:pStyle w:val="Compact"/>
      </w:pPr>
      <w:r>
        <w:t xml:space="preserve">Mitigating risks associated with security and political instability.</w:t>
      </w:r>
    </w:p>
    <w:p>
      <w:pPr>
        <w:numPr>
          <w:ilvl w:val="0"/>
          <w:numId w:val="1001"/>
        </w:numPr>
        <w:pStyle w:val="Compact"/>
      </w:pPr>
      <w:r>
        <w:t xml:space="preserve">Developing retention strategies in a market characterized by high turnover among skilled professionals seeking emigration.</w:t>
      </w:r>
    </w:p>
    <w:bookmarkEnd w:id="21"/>
    <w:bookmarkStart w:id="24" w:name="X5b9e7c95a475b7d59b59197b8a94dc53c48bf9c"/>
    <w:p>
      <w:pPr>
        <w:pStyle w:val="Heading2"/>
      </w:pPr>
      <w:r>
        <w:t xml:space="preserve">3.0 Environmental Analysis: The Context of Iraq Baghdad</w:t>
      </w:r>
    </w:p>
    <w:p>
      <w:pPr>
        <w:pStyle w:val="FirstParagraph"/>
      </w:pPr>
      <w:r>
        <w:t xml:space="preserve">The environment for a Human Resources Manager in</w:t>
      </w:r>
      <w:r>
        <w:t xml:space="preserve"> </w:t>
      </w:r>
      <w:r>
        <w:rPr>
          <w:bCs/>
          <w:b/>
        </w:rPr>
        <w:t xml:space="preserve">Iraq Baghdad</w:t>
      </w:r>
      <w:r>
        <w:t xml:space="preserve"> </w:t>
      </w:r>
      <w:r>
        <w:t xml:space="preserve">is distinct from Western or even broader Middle Eastern contexts. The city has seen significant development over the last decade, yet it remains a place where personal relationships (wasta) often compete with meritocracy.</w:t>
      </w:r>
    </w:p>
    <w:bookmarkStart w:id="22" w:name="legal-and-regulatory-framework"/>
    <w:p>
      <w:pPr>
        <w:pStyle w:val="Heading3"/>
      </w:pPr>
      <w:r>
        <w:t xml:space="preserve">3.1 Legal and Regulatory Framework</w:t>
      </w:r>
    </w:p>
    <w:p>
      <w:pPr>
        <w:pStyle w:val="FirstParagraph"/>
      </w:pPr>
      <w:r>
        <w:t xml:space="preserve">The Human Resources Manager must possess deep knowledge of the Iraqi Labor Law No. 71 of 1987, as amended. Key provisions include strict regulations regarding termination procedures, which heavily favor employee security in the public sector and increasingly in regulated private sectors. The manager must also ensure compliance with social security regulations mandated by the General Company for Social Security (GCSS). Failure to comply can result in severe legal penalties and reputational damage.</w:t>
      </w:r>
    </w:p>
    <w:bookmarkEnd w:id="22"/>
    <w:bookmarkStart w:id="23" w:name="cultural-dynamics"/>
    <w:p>
      <w:pPr>
        <w:pStyle w:val="Heading3"/>
      </w:pPr>
      <w:r>
        <w:t xml:space="preserve">3.2 Cultural Dynamics</w:t>
      </w:r>
    </w:p>
    <w:p>
      <w:pPr>
        <w:pStyle w:val="FirstParagraph"/>
      </w:pPr>
      <w:r>
        <w:t xml:space="preserve">In</w:t>
      </w:r>
      <w:r>
        <w:t xml:space="preserve"> </w:t>
      </w:r>
      <w:r>
        <w:rPr>
          <w:bCs/>
          <w:b/>
        </w:rPr>
        <w:t xml:space="preserve">Iraq Baghdad</w:t>
      </w:r>
      <w:r>
        <w:t xml:space="preserve">, business is relational. The Human Resources Manager cannot rely solely on digital recruitment platforms or cold-calling strategies common in the West. Building trust through face-to-face interactions, understanding tribal affiliations, and respecting hierarchical structures are paramount. Furthermore, religious practices significantly impact work schedules; prayer times and the holy month of Ramadan require specific adjustments to working hours and productivity expectations.</w:t>
      </w:r>
    </w:p>
    <w:bookmarkEnd w:id="23"/>
    <w:bookmarkEnd w:id="24"/>
    <w:bookmarkStart w:id="25" w:name="Xe5cd07f78363078625fd7efede270c6dac808f7"/>
    <w:p>
      <w:pPr>
        <w:pStyle w:val="Heading2"/>
      </w:pPr>
      <w:r>
        <w:t xml:space="preserve">4.0 Methodology: Operational Strategies for HR</w:t>
      </w:r>
    </w:p>
    <w:p>
      <w:pPr>
        <w:pStyle w:val="FirstParagraph"/>
      </w:pPr>
      <w:r>
        <w:t xml:space="preserve">To effectively manage human capital in this region, the Human Resources Manager must adopt a hybrid approach that integrates global best practices with localized strategies.</w:t>
      </w:r>
    </w:p>
    <w:p>
      <w:pPr>
        <w:pStyle w:val="BodyText"/>
      </w:pPr>
      <w:r>
        <w:t xml:space="preserve">HRArea</w:t>
      </w:r>
    </w:p>
    <w:p>
      <w:pPr>
        <w:pStyle w:val="BodyText"/>
      </w:pPr>
      <w:r>
        <w:t xml:space="preserve">Local Adaptation in Iraq BaghdadChallenges &amp; Solutions</w:t>
      </w:r>
    </w:p>
    <w:p>
      <w:pPr>
        <w:pStyle w:val="BodyText"/>
      </w:pPr>
      <w:r>
        <w:t xml:space="preserve">.3f8f8;"&gt; padding: 12px; text-align: left; }.row-alt { background-color: #eaf2f8; }</w:t>
      </w:r>
      <w:r>
        <w:br/>
      </w:r>
    </w:p>
    <w:p>
      <w:pPr>
        <w:pStyle w:val="BodyText"/>
      </w:pPr>
      <w:r>
        <w:rPr>
          <w:bCs/>
          <w:b/>
        </w:rPr>
        <w:t xml:space="preserve">Talent Acquisition</w:t>
      </w:r>
      <w:r>
        <w:t xml:space="preserve">LinkedIn and Job Portals</w:t>
      </w:r>
    </w:p>
    <w:p>
      <w:pPr>
        <w:pStyle w:val="BodyText"/>
      </w:pPr>
      <w:r>
        <w:t xml:space="preserve">University partnerships (University of Baghdad, Al-Mustansiriya) and internal referrals due to high trust in community networks.Addressing the "Brain Drain" by offering competitive local packages that match expat rates where possible, while emphasizing job security.</w:t>
      </w:r>
    </w:p>
    <w:p>
      <w:pPr>
        <w:pStyle w:val="BodyText"/>
      </w:pPr>
      <w:r>
        <w:t xml:space="preserve">padding: 12px; text-align: left; }.row-alt { background-color: #eaf2f8; }</w:t>
      </w:r>
      <w:r>
        <w:br/>
      </w:r>
    </w:p>
    <w:p>
      <w:pPr>
        <w:pStyle w:val="BodyText"/>
      </w:pPr>
      <w:r>
        <w:rPr>
          <w:bCs/>
          <w:b/>
        </w:rPr>
        <w:t xml:space="preserve">Compensation &amp; Benefits</w:t>
      </w:r>
      <w:r>
        <w:t xml:space="preserve">Market-based salariesFixed allowances for housing and transportation due to inflation volatility.Currency fluctuation risks require dynamic salary reviews every six months rather than annually.</w:t>
      </w:r>
    </w:p>
    <w:p>
      <w:pPr>
        <w:pStyle w:val="BodyText"/>
      </w:pPr>
      <w:r>
        <w:rPr>
          <w:bCs/>
          <w:b/>
        </w:rPr>
        <w:t xml:space="preserve">Employee Relations</w:t>
      </w:r>
      <w:r>
        <w:t xml:space="preserve">Formal Disciplinary ProceduresMediation through senior figures or tribal elders in cases of severe conflict.Maintaining neutrality while respecting the deep-seated importance of family honor and community standing.</w:t>
      </w:r>
    </w:p>
    <w:p>
      <w:pPr>
        <w:pStyle w:val="BodyText"/>
      </w:pPr>
      <w:r>
        <w:rPr>
          <w:bCs/>
          <w:b/>
        </w:rPr>
        <w:t xml:space="preserve">Security &amp; Safety</w:t>
      </w:r>
      <w:r>
        <w:t xml:space="preserve">OSHA ComplianceComprehensive crisis management plans including evacuation routes and secure facility access.Psychological support for employees dealing with trauma related to historical instability.</w:t>
      </w:r>
    </w:p>
    <w:p>
      <w:pPr>
        <w:pStyle w:val="BodyText"/>
      </w:pPr>
      <w:r>
        <w:t xml:space="preserve">.440, 90, 179]; }"&gt; padding: 12px; text-align: left; }.row-alt { background-color: #eaf2f8; }</w:t>
      </w:r>
      <w:r>
        <w:br/>
      </w:r>
    </w:p>
    <w:p>
      <w:pPr>
        <w:pStyle w:val="BodyText"/>
      </w:pPr>
      <w:r>
        <w:rPr>
          <w:bCs/>
          <w:b/>
        </w:rPr>
        <w:t xml:space="preserve">Diversity &amp; Inclusion</w:t>
      </w:r>
      <w:r>
        <w:t xml:space="preserve">Equal Opportunity EmploymentPromoting gender inclusivity in corporate offices while acknowledging traditional societal norms.Encouraging women’s participation in the workforce through safe transportation and flexible hours during Ramadan.</w:t>
      </w:r>
    </w:p>
    <w:p>
      <w:pPr>
        <w:pStyle w:val="BodyText"/>
      </w:pPr>
      <w:r>
        <w:t xml:space="preserve">.440, 90, 179]; }"&gt; padding: 12px; text-align: left; }.row-alt { background-color: #eaf2f8; }</w:t>
      </w:r>
      <w:r>
        <w:br/>
      </w:r>
    </w:p>
    <w:bookmarkEnd w:id="25"/>
    <w:bookmarkStart w:id="26" w:name="X36c537205ddf072facc50e070541c392fc67542"/>
    <w:p>
      <w:pPr>
        <w:pStyle w:val="Heading2"/>
      </w:pPr>
      <w:r>
        <w:t xml:space="preserve">.365;"&gt; padding: 12px; text-align: left; }.row-alt { background-color: #eaf2f8.340, 90, 179]; }"&gt; padding: 12px; text-align: left; }.row-alt { background-color: #eaf2f8.365;"&gt; padding: 12px; text-align:left;</w:t>
      </w:r>
    </w:p>
    <w:p>
      <w:pPr>
        <w:pStyle w:val="FirstParagraph"/>
      </w:pPr>
      <w:r>
        <w:t xml:space="preserve">.440, 90, 179]; }"&gt; padding: 12px; text-align:left;</w:t>
      </w:r>
    </w:p>
    <w:p>
      <w:pPr>
        <w:pStyle w:val="BodyText"/>
      </w:pPr>
      <w:r>
        <w:t xml:space="preserve">padding: 12px; text-align:left;</w:t>
      </w:r>
    </w:p>
    <w:p>
      <w:pPr>
        <w:pStyle w:val="BodyText"/>
      </w:pPr>
      <w:r>
        <w:t xml:space="preserve">.365;"&gt; padding: 12px; text-align:left. padding: 12px; text-align:left. padding: 12px; text-align;left;</w:t>
      </w:r>
    </w:p>
    <w:p>
      <w:pPr>
        <w:pStyle w:val="BodyText"/>
      </w:pPr>
      <w:r>
        <w:t xml:space="preserve">.365;"&gt; padding: .4f8f8;"&gt; padding:.340, 90, 179]; }"&gt; padding:.365.</w:t>
      </w:r>
    </w:p>
    <w:p>
      <w:pPr>
        <w:pStyle w:val="BodyText"/>
      </w:pPr>
      <w:r>
        <w:t xml:space="preserve">The role of a Human Resources Manager in</w:t>
      </w:r>
      <w:r>
        <w:t xml:space="preserve"> </w:t>
      </w:r>
      <w:r>
        <w:rPr>
          <w:bCs/>
          <w:b/>
        </w:rPr>
        <w:t xml:space="preserve">Iraq Baghdad</w:t>
      </w:r>
      <w:r>
        <w:t xml:space="preserve"> </w:t>
      </w:r>
      <w:r>
        <w:t xml:space="preserve">is not merely administrative; it is strategic and deeply human. Success requires a manager who is culturally fluent, legally astute, and empathetic to the historical context of the region.</w:t>
      </w:r>
    </w:p>
    <w:p>
      <w:pPr>
        <w:pStyle w:val="BodyText"/>
      </w:pPr>
      <w:r>
        <w:t xml:space="preserve">.365.340, 90, 179].html&gt;</w:t>
      </w:r>
    </w:p>
    <w:p>
      <w:pPr>
        <w:pStyle w:val="BodyText"/>
      </w:pPr>
      <w:r>
        <w:t xml:space="preserve">This "lab report" demonstrates that effective HR management in</w:t>
      </w:r>
      <w:r>
        <w:t xml:space="preserve"> </w:t>
      </w:r>
      <w:r>
        <w:rPr>
          <w:bCs/>
          <w:b/>
        </w:rPr>
        <w:t xml:space="preserve">Iraq Baghdad</w:t>
      </w:r>
      <w:r>
        <w:t xml:space="preserve"> </w:t>
      </w:r>
      <w:r>
        <w:t xml:space="preserve">cannot be a copy-paste exercise from Western models. It requires a nuanced understanding of local laws, the power of social capital, and the resilience required to operate in a post-conflict economy.</w:t>
      </w:r>
    </w:p>
    <w:p>
      <w:pPr>
        <w:pStyle w:val="BodyText"/>
      </w:pPr>
      <w:r>
        <w:t xml:space="preserve">.365.340, 90, 179].html&gt;</w:t>
      </w:r>
    </w:p>
    <w:p>
      <w:pPr>
        <w:pStyle w:val="BodyText"/>
      </w:pPr>
      <w:r>
        <w:t xml:space="preserve">By adhering to these guidelines, organizations can build a robust workforce that is engaged, compliant, and productive. The Human Resources Manager serves as the bridge between global corporate goals and local Iraqi realities.</w:t>
      </w:r>
    </w:p>
    <w:p>
      <w:pPr>
        <w:pStyle w:val="BodyText"/>
      </w:pPr>
      <w:r>
        <w:t xml:space="preserve">.365.340, 90, 179].html&gt;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Human Resources Management in Iraq Baghdad</dc:title>
  <dc:creator/>
  <dc:language>en</dc:language>
  <cp:keywords/>
  <dcterms:created xsi:type="dcterms:W3CDTF">2026-07-29T01:01:24Z</dcterms:created>
  <dcterms:modified xsi:type="dcterms:W3CDTF">2026-07-29T01:01:24Z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