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2" w:name="Xbd82a5368c81836315a36352210cb113eb74336"/>
    <w:p>
      <w:pPr>
        <w:pStyle w:val="Heading1"/>
      </w:pPr>
      <w:r>
        <w:rPr>
          <w:bCs/>
          <w:b/>
        </w:rPr>
        <w:t xml:space="preserve">Laboratory REPORT ON ORGANIZATIONAL STRUCTURE ANALYSIS</w:t>
      </w:r>
    </w:p>
    <w:bookmarkStart w:id="20" w:name="X74f4578260a18ef8ee7dea9ee127ed042179843"/>
    <w:p>
      <w:pPr>
        <w:pStyle w:val="Heading3"/>
      </w:pPr>
      <w:r>
        <w:rPr>
          <w:iCs/>
          <w:i/>
        </w:rPr>
        <w:t xml:space="preserve">The Role, Dynamics, and Strategic Implementation of the Human Resources Manager within the Economic Hub of Malaysia Kuala Lumpur.</w:t>
      </w:r>
    </w:p>
    <w:p>
      <w:pPr>
        <w:pStyle w:val="FirstParagraph"/>
      </w:pPr>
      <w:r>
        <w:rPr>
          <w:bCs/>
          <w:b/>
        </w:rPr>
        <w:t xml:space="preserve">Date:</w:t>
      </w:r>
      <w:r>
        <w:t xml:space="preserve"> </w:t>
      </w:r>
      <w:r>
        <w:t xml:space="preserve">May 24, 2024</w:t>
      </w:r>
    </w:p>
    <w:bookmarkEnd w:id="20"/>
    <w:bookmarkStart w:id="21" w:name="i.-abstract-executive-summary"/>
    <w:p>
      <w:pPr>
        <w:pStyle w:val="Heading2"/>
      </w:pPr>
      <w:r>
        <w:t xml:space="preserve">I. Abstract / Executive Summary</w:t>
      </w:r>
    </w:p>
    <w:p>
      <w:pPr>
        <w:pStyle w:val="FirstParagraph"/>
      </w:pPr>
      <w:r>
        <w:t xml:space="preserve">This laboratory report presents a comprehensive analysis of the functional parameters defining the</w:t>
      </w:r>
      <w:r>
        <w:t xml:space="preserve"> </w:t>
      </w:r>
      <w:r>
        <w:rPr>
          <w:bCs/>
          <w:b/>
        </w:rPr>
        <w:t xml:space="preserve">"Human Resources Manager"</w:t>
      </w:r>
      <w:r>
        <w:t xml:space="preserve">. This study specifically focuses on operational methodologies within the distinct economic and cultural ecosystem of</w:t>
      </w:r>
      <w:r>
        <w:t xml:space="preserve"> </w:t>
      </w:r>
      <w:r>
        <w:rPr>
          <w:bCs/>
          <w:b/>
        </w:rPr>
        <w:t xml:space="preserve">"Malaysia Kuala Lumpur"</w:t>
      </w:r>
      <w:r>
        <w:t xml:space="preserve">. Through rigorous examination of local labor laws, multicultural workforce dynamics, and strategic organizational behavior, this document aims to provide actionable insights into managing talent effectively in one of Southeast Asia's most competitive commercial centers.</w:t>
      </w:r>
    </w:p>
    <w:bookmarkEnd w:id="21"/>
    <w:bookmarkStart w:id="22" w:name="ii.-objective"/>
    <w:p>
      <w:pPr>
        <w:pStyle w:val="Heading2"/>
      </w:pPr>
      <w:r>
        <w:t xml:space="preserve">II. Objective</w:t>
      </w:r>
    </w:p>
    <w:p>
      <w:pPr>
        <w:pStyle w:val="FirstParagraph"/>
      </w:pPr>
      <w:r>
        <w:t xml:space="preserve">The primary objective of this lab report is to deconstruct the core competencies required for a</w:t>
      </w:r>
      <w:r>
        <w:t xml:space="preserve"> </w:t>
      </w:r>
      <w:r>
        <w:rPr>
          <w:bCs/>
          <w:b/>
        </w:rPr>
        <w:t xml:space="preserve">"Human Resources Manager"</w:t>
      </w:r>
      <w:r>
        <w:t xml:space="preserve">. The secondary objective involves applying these competencies within the specific regulatory and socio-economic framework of</w:t>
      </w:r>
      <w:r>
        <w:t xml:space="preserve"> </w:t>
      </w:r>
      <w:r>
        <w:rPr>
          <w:bCs/>
          <w:b/>
        </w:rPr>
        <w:t xml:space="preserve">"Malaysia Kuala Lumpur"</w:t>
      </w:r>
      <w:r>
        <w:t xml:space="preserve">, assessing how geographical and cultural nuances dictate HR strategies.</w:t>
      </w:r>
    </w:p>
    <w:bookmarkEnd w:id="22"/>
    <w:bookmarkStart w:id="23" w:name="iii.-methodology"/>
    <w:p>
      <w:pPr>
        <w:pStyle w:val="Heading2"/>
      </w:pPr>
      <w:r>
        <w:t xml:space="preserve">III. Methodology</w:t>
      </w:r>
    </w:p>
    <w:p>
      <w:pPr>
        <w:pStyle w:val="FirstParagraph"/>
      </w:pPr>
      <w:r>
        <w:t xml:space="preserve">To accurately simulate the operational environment of</w:t>
      </w:r>
      <w:r>
        <w:t xml:space="preserve"> </w:t>
      </w:r>
      <w:r>
        <w:rPr>
          <w:bCs/>
          <w:b/>
        </w:rPr>
        <w:t xml:space="preserve">"Malaysia Kuala Lumpur"</w:t>
      </w:r>
      <w:r>
        <w:t xml:space="preserve">, we utilized a mixed-method approach, integrating quantitative data regarding salary benchmarks in</w:t>
      </w:r>
      <w:r>
        <w:t xml:space="preserve"> </w:t>
      </w:r>
      <w:r>
        <w:rPr>
          <w:bCs/>
          <w:b/>
        </w:rPr>
        <w:t xml:space="preserve">"Malaysia Kuala Lumpur"</w:t>
      </w:r>
      <w:r>
        <w:t xml:space="preserve"> </w:t>
      </w:r>
      <w:r>
        <w:t xml:space="preserve">with qualitative case studies on HR challenges faced by multinational corporations (MNCs) in the region.</w:t>
      </w:r>
    </w:p>
    <w:bookmarkEnd w:id="23"/>
    <w:bookmarkStart w:id="27" w:name="iv.-results-and-observations"/>
    <w:p>
      <w:pPr>
        <w:pStyle w:val="Heading2"/>
      </w:pPr>
      <w:r>
        <w:t xml:space="preserve">IV. Results and Observations</w:t>
      </w:r>
    </w:p>
    <w:p>
      <w:pPr>
        <w:pStyle w:val="FirstParagraph"/>
      </w:pPr>
      <w:r>
        <w:t xml:space="preserve">The analysis yielded critical insights into how a</w:t>
      </w:r>
      <w:r>
        <w:t xml:space="preserve"> </w:t>
      </w:r>
      <w:r>
        <w:rPr>
          <w:bCs/>
          <w:b/>
        </w:rPr>
        <w:t xml:space="preserve">"Human Resources Manager"</w:t>
      </w:r>
      <w:r>
        <w:t xml:space="preserve">, when situated in</w:t>
      </w:r>
      <w:r>
        <w:t xml:space="preserve"> </w:t>
      </w:r>
      <w:r>
        <w:rPr>
          <w:bCs/>
          <w:b/>
        </w:rPr>
        <w:t xml:space="preserve">"Malaysia Kuala Lumpur"</w:t>
      </w:r>
      <w:r>
        <w:t xml:space="preserve">, must navigate specific operational parameters. The following observations were recorded:</w:t>
      </w:r>
    </w:p>
    <w:p>
      <w:pPr>
        <w:numPr>
          <w:ilvl w:val="0"/>
          <w:numId w:val="1001"/>
        </w:numPr>
        <w:pStyle w:val="Compact"/>
      </w:pPr>
      <w:r>
        <w:t xml:space="preserve">Labor Law Compliance:</w:t>
      </w:r>
      <w:r>
        <w:t xml:space="preserve"> </w:t>
      </w:r>
      <w:r>
        <w:t xml:space="preserve">A successful HR strategy requires absolute adherence to the Employment Act 1955, as strictly enforced within</w:t>
      </w:r>
      <w:r>
        <w:t xml:space="preserve"> </w:t>
      </w:r>
      <w:r>
        <w:rPr>
          <w:bCs/>
          <w:b/>
        </w:rPr>
        <w:t xml:space="preserve">"Malaysia Kuala Lumpur"</w:t>
      </w:r>
      <w:r>
        <w:t xml:space="preserve">.</w:t>
      </w:r>
    </w:p>
    <w:p>
      <w:pPr>
        <w:numPr>
          <w:ilvl w:val="0"/>
          <w:numId w:val="1001"/>
        </w:numPr>
        <w:pStyle w:val="Compact"/>
      </w:pPr>
      <w:r>
        <w:t xml:space="preserve">Cultural Intelligence:</w:t>
      </w:r>
      <w:r>
        <w:t xml:space="preserve"> </w:t>
      </w:r>
      <w:r>
        <w:t xml:space="preserve">Managing a diverse workforce in</w:t>
      </w:r>
      <w:r>
        <w:t xml:space="preserve"> </w:t>
      </w:r>
      <w:r>
        <w:rPr>
          <w:bCs/>
          <w:b/>
        </w:rPr>
        <w:t xml:space="preserve">"Malaysia Kuala Lumpur"</w:t>
      </w:r>
      <w:r>
        <w:t xml:space="preserve"> </w:t>
      </w:r>
      <w:r>
        <w:t xml:space="preserve">demands high cultural intelligence from the HR Manager to balance the diverse needs of various ethnic groups.</w:t>
      </w:r>
    </w:p>
    <w:bookmarkStart w:id="24" w:name="Xc45456276a58b47c942a1cd3634dfba2736a24c"/>
    <w:p>
      <w:pPr>
        <w:pStyle w:val="Heading3"/>
      </w:pPr>
      <w:r>
        <w:t xml:space="preserve">A. Strategic Talent Acquisition and Recruitment</w:t>
      </w:r>
    </w:p>
    <w:p>
      <w:pPr>
        <w:pStyle w:val="FirstParagraph"/>
      </w:pPr>
      <w:r>
        <w:t xml:space="preserve">The recruitment phase is pivotal for any</w:t>
      </w:r>
      <w:r>
        <w:t xml:space="preserve"> </w:t>
      </w:r>
      <w:r>
        <w:rPr>
          <w:bCs/>
          <w:b/>
        </w:rPr>
        <w:t xml:space="preserve">"Human Resources Manager"</w:t>
      </w:r>
      <w:r>
        <w:t xml:space="preserve">. In</w:t>
      </w:r>
      <w:r>
        <w:t xml:space="preserve"> </w:t>
      </w:r>
      <w:r>
        <w:rPr>
          <w:bCs/>
          <w:b/>
        </w:rPr>
        <w:t xml:space="preserve">"Malaysia Kuala Lumpur"</w:t>
      </w:r>
      <w:r>
        <w:t xml:space="preserve">, this involves navigating local platforms like JobStreet.com alongside global networks. The manager must possess a keen understanding of the specific talent pools available in the city's vibrant business districts.</w:t>
      </w:r>
    </w:p>
    <w:bookmarkEnd w:id="24"/>
    <w:bookmarkStart w:id="25" w:name="b.-compensation-and-benefits"/>
    <w:p>
      <w:pPr>
        <w:pStyle w:val="Heading3"/>
      </w:pPr>
      <w:r>
        <w:t xml:space="preserve">B. Compensation and Benefits</w:t>
      </w:r>
    </w:p>
    <w:p>
      <w:pPr>
        <w:pStyle w:val="FirstParagraph"/>
      </w:pPr>
      <w:r>
        <w:t xml:space="preserve">Data Table 1: Estimated Cost of Living and HR Benchmarks</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Parameter / Metric</w:t>
            </w:r>
          </w:p>
        </w:tc>
        <w:tc>
          <w:tcPr/>
          <w:p>
            <w:pPr>
              <w:pStyle w:val="Compact"/>
              <w:jc w:val="left"/>
            </w:pPr>
            <w:r>
              <w:rPr>
                <w:bCs/>
                <w:b/>
              </w:rPr>
              <w:t xml:space="preserve">Magnitude / Value (MYR)</w:t>
            </w:r>
          </w:p>
        </w:tc>
      </w:tr>
      <w:tr>
        <w:tc>
          <w:tcPr/>
          <w:p>
            <w:pPr>
              <w:pStyle w:val="Compact"/>
              <w:jc w:val="left"/>
            </w:pPr>
            <w:r>
              <w:rPr>
                <w:iCs/>
                <w:i/>
              </w:rPr>
              <w:t xml:space="preserve">Average Monthly Base Salary for HR Manager in Malaysia Kuala Lumpur</w:t>
            </w:r>
          </w:p>
        </w:tc>
        <w:tc>
          <w:tcPr/>
          <w:p>
            <w:pPr>
              <w:pStyle w:val="Compact"/>
              <w:jc w:val="left"/>
            </w:pPr>
            <w:r>
              <w:t xml:space="preserve">RM 8,500 - RM 14,000</w:t>
            </w:r>
          </w:p>
        </w:tc>
      </w:tr>
      <w:tr>
        <w:tc>
          <w:tcPr/>
          <w:p>
            <w:pPr>
              <w:pStyle w:val="Compact"/>
              <w:jc w:val="left"/>
            </w:pPr>
            <w:r>
              <w:rPr>
                <w:iCs/>
                <w:i/>
              </w:rPr>
              <w:t xml:space="preserve">Average Cost of Living Index (Excluding Rent) in Malaysia Kuala Lumpur</w:t>
            </w:r>
          </w:p>
        </w:tc>
        <w:tc>
          <w:tcPr/>
          <w:p>
            <w:pPr>
              <w:pStyle w:val="Compact"/>
              <w:jc w:val="left"/>
            </w:pPr>
            <w:r>
              <w:t xml:space="preserve">RM 2,500 - RM 3,200</w:t>
            </w:r>
          </w:p>
        </w:tc>
      </w:tr>
      <w:tr>
        <w:tc>
          <w:tcPr/>
          <w:p>
            <w:pPr>
              <w:pStyle w:val="Compact"/>
              <w:jc w:val="left"/>
            </w:pPr>
            <w:r>
              <w:rPr>
                <w:iCs/>
                <w:i/>
              </w:rPr>
              <w:t xml:space="preserve">Average Monthly Rental for a Condo in Malaysia Kuala Lumpur</w:t>
            </w:r>
          </w:p>
        </w:tc>
        <w:tc>
          <w:tcPr/>
          <w:p>
            <w:pPr>
              <w:pStyle w:val="Compact"/>
              <w:jc w:val="left"/>
            </w:pPr>
            <w:r>
              <w:t xml:space="preserve">RM 2,800 - RM 5,500</w:t>
            </w:r>
          </w:p>
        </w:tc>
      </w:tr>
    </w:tbl>
    <w:bookmarkEnd w:id="25"/>
    <w:bookmarkStart w:id="26" w:name="c.-employee-relations-and-welfare"/>
    <w:p>
      <w:pPr>
        <w:pStyle w:val="Heading3"/>
      </w:pPr>
      <w:r>
        <w:t xml:space="preserve">C. Employee Relations and Welfare</w:t>
      </w:r>
    </w:p>
    <w:p>
      <w:pPr>
        <w:pStyle w:val="FirstParagraph"/>
      </w:pPr>
      <w:r>
        <w:t xml:space="preserve">In the bustling metropolis of</w:t>
      </w:r>
      <w:r>
        <w:t xml:space="preserve"> </w:t>
      </w:r>
      <w:r>
        <w:rPr>
          <w:bCs/>
          <w:b/>
        </w:rPr>
        <w:t xml:space="preserve">"Malaysia Kuala Lumpur"</w:t>
      </w:r>
      <w:r>
        <w:t xml:space="preserve">, employee well-being extends beyond standard benefits. A</w:t>
      </w:r>
      <w:r>
        <w:t xml:space="preserve"> </w:t>
      </w:r>
      <w:r>
        <w:rPr>
          <w:bCs/>
          <w:b/>
        </w:rPr>
        <w:t xml:space="preserve">"Human Resources Manager"</w:t>
      </w:r>
      <w:r>
        <w:t xml:space="preserve"> </w:t>
      </w:r>
      <w:r>
        <w:t xml:space="preserve">must implement wellness programs that account for urban stress, utilizing facilities common in this modern cityscape.</w:t>
      </w:r>
    </w:p>
    <w:bookmarkEnd w:id="26"/>
    <w:bookmarkEnd w:id="27"/>
    <w:bookmarkStart w:id="29" w:name="v.-discussion"/>
    <w:p>
      <w:pPr>
        <w:pStyle w:val="Heading2"/>
      </w:pPr>
      <w:r>
        <w:t xml:space="preserve">V. Discussion</w:t>
      </w:r>
    </w:p>
    <w:p>
      <w:pPr>
        <w:pStyle w:val="FirstParagraph"/>
      </w:pPr>
      <w:r>
        <w:t xml:space="preserve">The data obtained during this lab report underscores the complexity of the role held by a</w:t>
      </w:r>
      <w:r>
        <w:t xml:space="preserve"> </w:t>
      </w:r>
      <w:r>
        <w:rPr>
          <w:bCs/>
          <w:b/>
        </w:rPr>
        <w:t xml:space="preserve">"Human Resources Manager"</w:t>
      </w:r>
      <w:r>
        <w:t xml:space="preserve">. The specific environment of</w:t>
      </w:r>
      <w:r>
        <w:t xml:space="preserve"> </w:t>
      </w:r>
      <w:r>
        <w:rPr>
          <w:bCs/>
          <w:b/>
        </w:rPr>
        <w:t xml:space="preserve">"Malaysia Kuala Lumpur"</w:t>
      </w:r>
      <w:r>
        <w:t xml:space="preserve">, with its blend of traditional heritage and ultra-modern corporate demands, imposes unique requirements on HR departments. The manager must act not only as an administrative compliance officer but also as a strategic business partner who understands the pulse of the local economy.</w:t>
      </w:r>
    </w:p>
    <w:bookmarkStart w:id="28" w:name="a.-cultural-integration"/>
    <w:p>
      <w:pPr>
        <w:pStyle w:val="Heading3"/>
      </w:pPr>
      <w:r>
        <w:t xml:space="preserve">A. Cultural Integration</w:t>
      </w:r>
    </w:p>
    <w:p>
      <w:pPr>
        <w:pStyle w:val="FirstParagraph"/>
      </w:pPr>
      <w:r>
        <w:t xml:space="preserve">The multicultural fabric of</w:t>
      </w:r>
      <w:r>
        <w:t xml:space="preserve"> </w:t>
      </w:r>
      <w:r>
        <w:rPr>
          <w:bCs/>
          <w:b/>
        </w:rPr>
        <w:t xml:space="preserve">"Malaysia Kuala Lumpur"</w:t>
      </w:r>
      <w:r>
        <w:t xml:space="preserve"> </w:t>
      </w:r>
      <w:r>
        <w:t xml:space="preserve">requires an HR Manager to foster inclusivity. Policies regarding religious holidays (such as Hari Raya, Chinese New Year, and Deepavali) must be meticulously balanced to ensure equity among all employees.</w:t>
      </w:r>
    </w:p>
    <w:bookmarkEnd w:id="28"/>
    <w:bookmarkEnd w:id="29"/>
    <w:bookmarkStart w:id="30" w:name="vii.-conclusion"/>
    <w:p>
      <w:pPr>
        <w:pStyle w:val="Heading2"/>
      </w:pPr>
      <w:r>
        <w:t xml:space="preserve">VII. Conclusion</w:t>
      </w:r>
    </w:p>
    <w:p>
      <w:pPr>
        <w:pStyle w:val="FirstParagraph"/>
      </w:pPr>
      <w:r>
        <w:t xml:space="preserve">In conclusion, this laboratory report has systematically outlined the essential duties of a</w:t>
      </w:r>
      <w:r>
        <w:t xml:space="preserve"> </w:t>
      </w:r>
      <w:r>
        <w:rPr>
          <w:bCs/>
          <w:b/>
        </w:rPr>
        <w:t xml:space="preserve">"Human Resources Manager"</w:t>
      </w:r>
      <w:r>
        <w:t xml:space="preserve">. The study highlights that operating effectively within</w:t>
      </w:r>
      <w:r>
        <w:t xml:space="preserve"> </w:t>
      </w:r>
      <w:r>
        <w:rPr>
          <w:bCs/>
          <w:b/>
        </w:rPr>
        <w:t xml:space="preserve">"Malaysia Kuala Lumpur"</w:t>
      </w:r>
      <w:r>
        <w:t xml:space="preserve"> </w:t>
      </w:r>
      <w:r>
        <w:t xml:space="preserve">requires a specialized skill set encompassing legal expertise, cultural intelligence, and strategic foresight. Organizations seeking to thrive in this region must invest heavily in empowering their HR leaders to navigate the dynamic landscape of</w:t>
      </w:r>
      <w:r>
        <w:t xml:space="preserve"> </w:t>
      </w:r>
      <w:r>
        <w:rPr>
          <w:bCs/>
          <w:b/>
        </w:rPr>
        <w:t xml:space="preserve">"Malaysia Kuala Lumpur"</w:t>
      </w:r>
      <w:r>
        <w:t xml:space="preserve">.</w:t>
      </w:r>
    </w:p>
    <w:bookmarkEnd w:id="30"/>
    <w:bookmarkStart w:id="31" w:name="viii.-recommendations"/>
    <w:p>
      <w:pPr>
        <w:pStyle w:val="Heading2"/>
      </w:pPr>
      <w:r>
        <w:t xml:space="preserve">VIII. Recommendations</w:t>
      </w:r>
    </w:p>
    <w:p>
      <w:pPr>
        <w:pStyle w:val="FirstParagraph"/>
      </w:pPr>
      <w:r>
        <w:t xml:space="preserve">Based on the findings of this lab report, it is strongly recommended that:</w:t>
      </w:r>
    </w:p>
    <w:p>
      <w:pPr>
        <w:numPr>
          <w:ilvl w:val="0"/>
          <w:numId w:val="1002"/>
        </w:numPr>
        <w:pStyle w:val="Compact"/>
      </w:pPr>
      <w:r>
        <w:t xml:space="preserve">The Human Resources Manager continuously updates knowledge regarding labor laws specific to Malaysia Kuala Lumpur.</w:t>
      </w:r>
    </w:p>
    <w:p>
      <w:pPr>
        <w:pStyle w:val="FirstParagraph"/>
      </w:pPr>
      <w:r>
        <w:br/>
      </w:r>
    </w:p>
    <w:p>
      <w:pPr>
        <w:pStyle w:val="BodyText"/>
      </w:pPr>
      <w:r>
        <w:rPr>
          <w:bCs/>
          <w:b/>
        </w:rPr>
        <w:t xml:space="preserve">(End of Laboratory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Malaysia Kuala Lumpur</dc:title>
  <dc:creator/>
  <dc:language>en</dc:language>
  <cp:keywords/>
  <dcterms:created xsi:type="dcterms:W3CDTF">2026-07-29T06:18:11Z</dcterms:created>
  <dcterms:modified xsi:type="dcterms:W3CDTF">2026-07-29T06:18:11Z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