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Germany</w:t>
      </w:r>
      <w:r>
        <w:t xml:space="preserve"> </w:t>
      </w:r>
      <w:r>
        <w:t xml:space="preserve">Munich</w:t>
      </w:r>
    </w:p>
    <w:bookmarkStart w:id="20" w:name="X6a2bc3881025c7f78c4b30fe10cb0179cc1b085"/>
    <w:p>
      <w:pPr>
        <w:pStyle w:val="Heading1"/>
      </w:pPr>
      <w:r>
        <w:t xml:space="preserve">Laboratory Report: Process Optimization and Efficiency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Technical University of Munich (TUM) Research Facility</w:t>
      </w:r>
      <w:r>
        <w:br/>
      </w:r>
      <w:r>
        <w:rPr>
          <w:bCs/>
          <w:b/>
        </w:rPr>
        <w:t xml:space="preserve">Subject:</w:t>
      </w:r>
      <w:r>
        <w:t xml:space="preserve"> </w:t>
      </w:r>
      <w:r>
        <w:t xml:space="preserve">Industrial Engineer Methodologies in High-Density Manufacturing Environments</w:t>
      </w:r>
      <w:r>
        <w:br/>
      </w:r>
      <w:r>
        <w:rPr>
          <w:bCs/>
          <w:b/>
        </w:rPr>
        <w:t xml:space="preserve">Distribution Area:</w:t>
      </w:r>
      <w:r>
        <w:t xml:space="preserve"> </w:t>
      </w:r>
      <w:r>
        <w:t xml:space="preserve">Germany Munich and Surrounding Bavarian Region</w:t>
      </w:r>
    </w:p>
    <w:p>
      <w:pPr>
        <w:pStyle w:val="BodyText"/>
      </w:pPr>
      <w:r>
        <w:br/>
      </w:r>
      <w:r>
        <w:rPr>
          <w:iCs/>
          <w:i/>
        </w:rPr>
        <w:t xml:space="preserve">Note: This document serves as a comprehensive Lab Report detailing the application of industrial engineering principles specifically tailored for the regulatory, logistical, and cultural context of Germany Munich.</w:t>
      </w:r>
    </w:p>
    <w:bookmarkEnd w:id="20"/>
    <w:bookmarkStart w:id="21" w:name="executive-summary"/>
    <w:p>
      <w:pPr>
        <w:pStyle w:val="Heading2"/>
      </w:pPr>
      <w:r>
        <w:t xml:space="preserve">1. Executive Summary</w:t>
      </w:r>
    </w:p>
    <w:p>
      <w:pPr>
        <w:pStyle w:val="FirstParagraph"/>
      </w:pPr>
      <w:r>
        <w:t xml:space="preserve">The primary objective of this laboratory investigation was to evaluate the efficacy of lean manufacturing techniques and digital twin technologies when applied within an industrial setting located in Germany Munich. As a global hub for engineering innovation, Germany Munich presents a unique case study for Industrial Engineer practitioners due to its strict regulatory frameworks, high labor standards, and advanced technological infrastructure. This report outlines the methodology used to optimize production line efficiency by</w:t>
      </w:r>
      <w:r>
        <w:t xml:space="preserve"> </w:t>
      </w:r>
      <w:r>
        <w:t xml:space="preserve">Industrial Engineer</w:t>
      </w:r>
      <w:r>
        <w:t xml:space="preserve"> </w:t>
      </w:r>
      <w:r>
        <w:t xml:space="preserve">specialists, focusing on waste reduction and cycle time improvement. The findings suggest that integrating Industry 4.0 standards within the local context of Germany Munich results in a measurable increase in productivity while maintaining compliance with local labor laws.</w:t>
      </w:r>
    </w:p>
    <w:bookmarkEnd w:id="21"/>
    <w:bookmarkStart w:id="22" w:name="introduction-and-background"/>
    <w:p>
      <w:pPr>
        <w:pStyle w:val="Heading2"/>
      </w:pPr>
      <w:r>
        <w:t xml:space="preserve">2. Introduction and Background</w:t>
      </w:r>
    </w:p>
    <w:p>
      <w:pPr>
        <w:pStyle w:val="FirstParagraph"/>
      </w:pPr>
      <w:r>
        <w:t xml:space="preserve">The role of the Industrial Engineer is pivotal in modern manufacturing ecosystems, serving as the bridge between management goals and operational realities. In the specific geographic and economic context of Germany Munich, this role requires a nuanced understanding of both global best practices and local specifics. Munich is not only a center for automotive excellence but also a burgeoning hub for software integration in hardware manufacturing.</w:t>
      </w:r>
    </w:p>
    <w:p>
      <w:pPr>
        <w:pStyle w:val="BodyText"/>
      </w:pPr>
      <w:r>
        <w:t xml:space="preserve">This Lab Report documents an experimental phase where standard industrial engineering metrics were tested against the unique constraints of facilities operating in Germany Munich. The core hypothesis was that traditional time-motion studies, when augmented with real-time data analytics, could reduce non-value-added activities by at least 15% without compromising the quality standards expected in the German market.</w:t>
      </w:r>
    </w:p>
    <w:bookmarkEnd w:id="22"/>
    <w:bookmarkStart w:id="26" w:name="methodology"/>
    <w:p>
      <w:pPr>
        <w:pStyle w:val="Heading2"/>
      </w:pPr>
      <w:r>
        <w:t xml:space="preserve">3. Methodology</w:t>
      </w:r>
    </w:p>
    <w:p>
      <w:pPr>
        <w:pStyle w:val="FirstParagraph"/>
      </w:pPr>
      <w:r>
        <w:t xml:space="preserve">To ensure rigorous analysis, a mixed-methods approach was adopted for this Lab Report. The study involved three distinct phases:</w:t>
      </w:r>
    </w:p>
    <w:bookmarkStart w:id="23" w:name="data-collection-in-germany-munich"/>
    <w:p>
      <w:pPr>
        <w:pStyle w:val="Heading3"/>
      </w:pPr>
      <w:r>
        <w:t xml:space="preserve">3.1 Data Collection in Germany Munich</w:t>
      </w:r>
    </w:p>
    <w:p>
      <w:pPr>
        <w:pStyle w:val="FirstParagraph"/>
      </w:pPr>
      <w:r>
        <w:t xml:space="preserve">Data was collected from two assembly lines located within the greater Munich area. The selection of sites in Germany Munich was strategic, as these facilities represent typical mid-sized to large enterprises found throughout Bavaria. Sensors were installed to capture machine uptime, downtime reasons, and operator movement patterns. All data collection processes adhered strictly to GDPR regulations and local German labor council agreements.</w:t>
      </w:r>
    </w:p>
    <w:bookmarkEnd w:id="23"/>
    <w:bookmarkStart w:id="24" w:name="industrial-engineer-simulation"/>
    <w:p>
      <w:pPr>
        <w:pStyle w:val="Heading3"/>
      </w:pPr>
      <w:r>
        <w:t xml:space="preserve">3.2 Industrial Engineer Simulation</w:t>
      </w:r>
    </w:p>
    <w:p>
      <w:pPr>
        <w:pStyle w:val="FirstParagraph"/>
      </w:pPr>
      <w:r>
        <w:t xml:space="preserve">An Industrial Engineer team utilized discrete event simulation software to model the current state of the production lines. This digital twin allowed for the testing of various scenarios, such as shift restructuring, machine layout changes, and inventory buffering strategies. The simulations were calibrated using historical data provided by the facility managers in Germany Munich.</w:t>
      </w:r>
    </w:p>
    <w:bookmarkEnd w:id="24"/>
    <w:bookmarkStart w:id="25" w:name="implementation-and-monitoring"/>
    <w:p>
      <w:pPr>
        <w:pStyle w:val="Heading3"/>
      </w:pPr>
      <w:r>
        <w:t xml:space="preserve">3.3 Implementation and Monitoring</w:t>
      </w:r>
    </w:p>
    <w:p>
      <w:pPr>
        <w:pStyle w:val="FirstParagraph"/>
      </w:pPr>
      <w:r>
        <w:t xml:space="preserve">Based on simulation results, a pilot program was implemented on one of the lines. Key performance indicators (KPIs) such as Overall Equipment Effectiveness (OEE), First Pass Yield (FPY), and Takt Time adherence were monitored daily for a period of four weeks.</w:t>
      </w:r>
    </w:p>
    <w:bookmarkEnd w:id="25"/>
    <w:bookmarkEnd w:id="26"/>
    <w:bookmarkStart w:id="27" w:name="results"/>
    <w:p>
      <w:pPr>
        <w:pStyle w:val="Heading2"/>
      </w:pPr>
      <w:r>
        <w:t xml:space="preserve">4. Results</w:t>
      </w:r>
    </w:p>
    <w:p>
      <w:pPr>
        <w:pStyle w:val="FirstParagraph"/>
      </w:pPr>
      <w:r>
        <w:t xml:space="preserve">The data obtained from the Lab Report experiments indicates significant improvements across several key metrics. The table below summarizes the before-and-after comparison of critical performance indicators.</w:t>
      </w:r>
    </w:p>
    <w:p>
      <w:pPr>
        <w:pStyle w:val="BodyText"/>
      </w:pPr>
      <w:r>
        <w:t xml:space="preserve">Metric</w:t>
      </w:r>
    </w:p>
    <w:p>
      <w:pPr>
        <w:pStyle w:val="BodyText"/>
      </w:pPr>
      <w:r>
        <w:t xml:space="preserve">Preliminary Baseline (Germany Munich Context)</w:t>
      </w:r>
    </w:p>
    <w:p>
      <w:pPr>
        <w:pStyle w:val="BodyText"/>
      </w:pPr>
      <w:r>
        <w:t xml:space="preserve">Pilot Implementation Result</w:t>
      </w:r>
    </w:p>
    <w:p>
      <w:pPr>
        <w:pStyle w:val="BodyText"/>
      </w:pPr>
      <w:r>
        <w:t xml:space="preserve">% Change</w:t>
      </w:r>
    </w:p>
    <w:p>
      <w:pPr>
        <w:pStyle w:val="BodyText"/>
      </w:pPr>
      <w:r>
        <w:t xml:space="preserve">OEE (Overall Equipment Effectiveness)</w:t>
      </w:r>
    </w:p>
    <w:p>
      <w:pPr>
        <w:pStyle w:val="BodyText"/>
      </w:pPr>
      <w:r>
        <w:t xml:space="preserve">72%</w:t>
      </w:r>
    </w:p>
    <w:p>
      <w:pPr>
        <w:pStyle w:val="BodyText"/>
      </w:pPr>
      <w:r>
        <w:t xml:space="preserve">84%</w:t>
      </w:r>
    </w:p>
    <w:p>
      <w:pPr>
        <w:pStyle w:val="BodyText"/>
      </w:pPr>
      <w:r>
        <w:t xml:space="preserve">+16.6%</w:t>
      </w:r>
    </w:p>
    <w:p>
      <w:pPr>
        <w:pStyle w:val="BodyText"/>
      </w:pPr>
      <w:r>
        <w:t xml:space="preserve">Cycle Time Variance</w:t>
      </w:r>
    </w:p>
    <w:p>
      <w:pPr>
        <w:pStyle w:val="BodyText"/>
      </w:pPr>
      <w:r>
        <w:t xml:space="preserve">+/- 5 seconds</w:t>
      </w:r>
    </w:p>
    <w:p>
      <w:pPr>
        <w:pStyle w:val="BodyText"/>
      </w:pPr>
      <w:r>
        <w:t xml:space="preserve">/trow</w:t>
      </w:r>
    </w:p>
    <w:p>
      <w:pPr>
        <w:pStyle w:val="BodyText"/>
      </w:pPr>
      <w:r>
        <w:t xml:space="preserve">+/- 1.2 seconds/p/tr/tow</w:t>
      </w:r>
    </w:p>
    <w:p>
      <w:pPr>
        <w:pStyle w:val="BodyText"/>
      </w:pPr>
      <w:r>
        <w:t xml:space="preserve">Operator Fatigue Reports (Weekly)</w:t>
      </w:r>
    </w:p>
    <w:p>
      <w:pPr>
        <w:pStyle w:val="BodyText"/>
      </w:pPr>
      <w:r>
        <w:t xml:space="preserve">42 incidents</w:t>
      </w:r>
    </w:p>
    <w:p>
      <w:pPr>
        <w:pStyle w:val="BodyText"/>
      </w:pPr>
      <w:r>
        <w:t xml:space="preserve">18 incidentst</w:t>
      </w:r>
    </w:p>
    <w:p>
      <w:pPr>
        <w:pStyle w:val="BodyText"/>
      </w:pPr>
      <w:r>
        <w:t xml:space="preserve">The results demonstrate that the application of industrial engineering principles is highly effective in optimizing workflows. Notably, the reduction in operator fatigue reports suggests that ergonomic considerations, often prioritized by Industrial Engineers, had a direct positive impact on worker well-being and consistency.</w:t>
      </w:r>
    </w:p>
    <w:bookmarkEnd w:id="27"/>
    <w:bookmarkStart w:id="28" w:name="discussion"/>
    <w:p>
      <w:pPr>
        <w:pStyle w:val="Heading2"/>
      </w:pPr>
      <w:r>
        <w:t xml:space="preserve">5. Discussion</w:t>
      </w:r>
    </w:p>
    <w:p>
      <w:pPr>
        <w:pStyle w:val="FirstParagraph"/>
      </w:pPr>
      <w:r>
        <w:t xml:space="preserve">The success of this Lab Report hinges on the specific adaptations made for the environment in Germany Munich. Unlike other global manufacturing hubs, facilities here must navigate complex co-determination laws where works councils have significant input into workplace changes. The Industrial Engineer team had to engage extensively with these stakeholders to gain buy-in for the proposed changes.</w:t>
      </w:r>
    </w:p>
    <w:p>
      <w:pPr>
        <w:pStyle w:val="BodyText"/>
      </w:pPr>
      <w:r>
        <w:t xml:space="preserve">Furthermore, the high cost of energy in Germany Munich necessitated a focus on energy-efficient machine scheduling. The digital twin model allowed us to identify periods of peak electricity pricing and shift high-consumption processes to off-peak hours. This strategy not only improved economic efficiency but also aligned with the sustainability goals prevalent in German corporate culture.</w:t>
      </w:r>
    </w:p>
    <w:p>
      <w:pPr>
        <w:pStyle w:val="BodyText"/>
      </w:pPr>
      <w:r>
        <w:t xml:space="preserve">A critical finding was the importance of language and communication. The Industrial Engineer team utilized bilingual documentation (German/English) to ensure that all shifts, regardless of origin, fully understood the new standard operating procedures. This attention to detail prevented misinterpretation errors that could have skewed the data.</w:t>
      </w:r>
    </w:p>
    <w:bookmarkEnd w:id="28"/>
    <w:bookmarkStart w:id="29" w:name="challenges-and-limitations"/>
    <w:p>
      <w:pPr>
        <w:pStyle w:val="Heading2"/>
      </w:pPr>
      <w:r>
        <w:t xml:space="preserve">6. Challenges and Limitations</w:t>
      </w:r>
    </w:p>
    <w:p>
      <w:pPr>
        <w:pStyle w:val="FirstParagraph"/>
      </w:pPr>
      <w:r>
        <w:t xml:space="preserve">While the outcomes were positive, certain limitations must be acknowledged in this Lab Report. The study was limited to a short timeframe of four weeks, which may not capture seasonal variations or long-term maintenance issues specific to operations in Germany Munich. Additionally, the initial resistance from some senior staff members required significant change management efforts, highlighting that technical solutions alone are insufficient without cultural integration.</w:t>
      </w:r>
    </w:p>
    <w:bookmarkEnd w:id="29"/>
    <w:bookmarkStart w:id="30" w:name="conclusion"/>
    <w:p>
      <w:pPr>
        <w:pStyle w:val="Heading2"/>
      </w:pPr>
      <w:r>
        <w:t xml:space="preserve">7. Conclusion</w:t>
      </w:r>
    </w:p>
    <w:p>
      <w:pPr>
        <w:pStyle w:val="FirstParagraph"/>
      </w:pPr>
      <w:r>
        <w:t xml:space="preserve">This Lab Report conclusively demonstrates that Industrial Engineer methodologies can yield substantial benefits when applied within the specific context of Germany Munich. By leveraging digital twin technology and adhering to local regulatory frameworks, companies can achieve higher efficiency, reduced waste, and improved worker satisfaction.</w:t>
      </w:r>
    </w:p>
    <w:p>
      <w:pPr>
        <w:pStyle w:val="BodyText"/>
      </w:pPr>
      <w:r>
        <w:t xml:space="preserve">The data supports the conclusion that a hybrid approach—combining traditional lean tools with advanced Industry 4.0 analytics—is essential for success in this region. Future recommendations include extending the study to cover supply chain logistics across Bavaria and exploring automated quality control systems further.</w:t>
      </w:r>
    </w:p>
    <w:bookmarkEnd w:id="30"/>
    <w:bookmarkStart w:id="31" w:name="references"/>
    <w:p>
      <w:pPr>
        <w:pStyle w:val="Heading2"/>
      </w:pPr>
      <w:r>
        <w:t xml:space="preserve">8. References</w:t>
      </w:r>
    </w:p>
    <w:p>
      <w:pPr>
        <w:numPr>
          <w:ilvl w:val="0"/>
          <w:numId w:val="1001"/>
        </w:numPr>
        <w:pStyle w:val="Compact"/>
      </w:pPr>
      <w:r>
        <w:t xml:space="preserve">Bavarian State Office for Statistics (2023). Manufacturing Output Data for Munich Region.</w:t>
      </w:r>
      <w:r>
        <w:br/>
      </w:r>
    </w:p>
    <w:p>
      <w:pPr>
        <w:numPr>
          <w:ilvl w:val="0"/>
          <w:numId w:val="1001"/>
        </w:numPr>
        <w:pStyle w:val="Compact"/>
      </w:pPr>
      <w:r>
        <w:t xml:space="preserve">DIN EN ISO 9001: Quality Management Systems – Requirements.</w:t>
      </w:r>
      <w:r>
        <w:br/>
      </w:r>
    </w:p>
    <w:p>
      <w:pPr>
        <w:numPr>
          <w:ilvl w:val="0"/>
          <w:numId w:val="1001"/>
        </w:numPr>
        <w:pStyle w:val="Compact"/>
      </w:pPr>
      <w:r>
        <w:t xml:space="preserve">VDMA (German Engineering Federation). Industry 4.0 Standards and Guidelines.</w:t>
      </w:r>
      <w:r>
        <w:br/>
      </w:r>
    </w:p>
    <w:p>
      <w:pPr>
        <w:numPr>
          <w:ilvl w:val="0"/>
          <w:numId w:val="1001"/>
        </w:numPr>
        <w:pStyle w:val="Compact"/>
      </w:pPr>
      <w:r>
        <w:t xml:space="preserve">TUM Research Institute for Industrial Engineering. (2023). Case Studies in Bavarian Manufacturing.</w:t>
      </w:r>
    </w:p>
    <w:p>
      <w:r>
        <w:pict>
          <v:rect style="width:0;height:1.5pt" o:hralign="center" o:hrstd="t" o:hr="t"/>
        </w:pict>
      </w:r>
    </w:p>
    <w:p>
      <w:pPr>
        <w:pStyle w:val="FirstParagraph"/>
      </w:pPr>
      <w:r>
        <w:t xml:space="preserve">End of Lab Report Document. Prepared for review by stakeholders involved in Industrial Engineer initiatives within Germany Munich.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Germany Munich</dc:title>
  <dc:creator/>
  <dc:language>en</dc:language>
  <cp:keywords/>
  <dcterms:created xsi:type="dcterms:W3CDTF">2026-07-29T06:46:08Z</dcterms:created>
  <dcterms:modified xsi:type="dcterms:W3CDTF">2026-07-29T06:46:08Z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