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Judicial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Laboratory Report Reference:</w:t>
      </w:r>
      <w:r>
        <w:t xml:space="preserve"> </w:t>
      </w:r>
      <w:r>
        <w:t xml:space="preserve">LAB-JUD-ARG-2023-BA</w:t>
      </w:r>
    </w:p>
    <w:p>
      <w:pPr>
        <w:pStyle w:val="BodyText"/>
      </w:pPr>
      <w:r>
        <w:rPr>
          <w:bCs/>
          <w:b/>
        </w:rPr>
        <w:t xml:space="preserve">Date of Analysis: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Jurisdictional Focus:</w:t>
      </w:r>
      <w:r>
        <w:t xml:space="preserve"> </w:t>
      </w:r>
      <w:r>
        <w:t xml:space="preserve">Argentina, Buenos Aires City and Province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Confidential / Academic Review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.html.</w:t>
      </w:r>
      <w:r>
        <w:t xml:space="preserve"> </w:t>
      </w: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Judicial Analysis of the Judge Role in Argentina Buenos Aires</dc:title>
  <dc:creator/>
  <dc:language>en</dc:language>
  <cp:keywords/>
  <dcterms:created xsi:type="dcterms:W3CDTF">2026-09-27T09:01:37Z</dcterms:created>
  <dcterms:modified xsi:type="dcterms:W3CDTF">2026-09-27T09:01:37Z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