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Assessment</w:t>
      </w:r>
      <w:r>
        <w:t xml:space="preserve"> </w:t>
      </w:r>
      <w:r>
        <w:t xml:space="preserve">of</w:t>
      </w:r>
      <w:r>
        <w:t xml:space="preserve"> </w:t>
      </w:r>
      <w:r>
        <w:t xml:space="preserve">the</w:t>
      </w:r>
      <w:r>
        <w:t xml:space="preserve"> </w:t>
      </w:r>
      <w:r>
        <w:t xml:space="preserve">Judge</w:t>
      </w:r>
      <w:r>
        <w:t xml:space="preserve"> </w:t>
      </w:r>
      <w:r>
        <w:t xml:space="preserve">Role</w:t>
      </w:r>
      <w:r>
        <w:t xml:space="preserve"> </w:t>
      </w:r>
      <w:r>
        <w:t xml:space="preserve">in</w:t>
      </w:r>
      <w:r>
        <w:t xml:space="preserve"> </w:t>
      </w:r>
      <w:r>
        <w:t xml:space="preserve">Canada</w:t>
      </w:r>
      <w:r>
        <w:t xml:space="preserve"> </w:t>
      </w:r>
      <w:r>
        <w:t xml:space="preserve">Toronto</w:t>
      </w:r>
    </w:p>
    <w:bookmarkStart w:id="20" w:name="Xaface643adeb4aa8bb74893331cb79a7763bfe4"/>
    <w:p>
      <w:pPr>
        <w:pStyle w:val="Heading1"/>
      </w:pPr>
      <w:r>
        <w:t xml:space="preserve">Laboratory Report: Structural and Functional Analysis of the Judge in Canada Toronto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Legal Studies &amp; Urban Justice</w:t>
      </w:r>
      <w:r>
        <w:br/>
      </w:r>
      <w:r>
        <w:rPr>
          <w:bCs/>
          <w:b/>
        </w:rPr>
        <w:t xml:space="preserve">Laboratory Site:</w:t>
      </w:r>
      <w:r>
        <w:t xml:space="preserve"> </w:t>
      </w:r>
      <w:r>
        <w:t xml:space="preserve">Ontario Court of Justice / Superior Court of Justice, Toronto, Canada</w:t>
      </w:r>
    </w:p>
    <w:bookmarkEnd w:id="20"/>
    <w:bookmarkStart w:id="21" w:name="abstract"/>
    <w:p>
      <w:pPr>
        <w:pStyle w:val="Heading2"/>
      </w:pPr>
      <w:r>
        <w:t xml:space="preserve">1.0 Abstract</w:t>
      </w:r>
    </w:p>
    <w:p>
      <w:pPr>
        <w:pStyle w:val="FirstParagraph"/>
      </w:pPr>
      <w:r>
        <w:t xml:space="preserve">This laboratory report examines the operational dynamics, ethical obligations, and procedural responsibilities inherent in the role of a</w:t>
      </w:r>
      <w:r>
        <w:t xml:space="preserve"> </w:t>
      </w:r>
      <w:r>
        <w:t xml:space="preserve">Judge</w:t>
      </w:r>
      <w:r>
        <w:t xml:space="preserve">. The study is specifically contextualized within the jurisdiction of</w:t>
      </w:r>
      <w:r>
        <w:t xml:space="preserve"> </w:t>
      </w:r>
      <w:r>
        <w:t xml:space="preserve">Canada Toronto</w:t>
      </w:r>
      <w:r>
        <w:t xml:space="preserve">, acknowledging the unique multicultural demographics and legal pressures present in this major urban center. By analyzing case files, judicial conduct codes, and procedural frameworks, this report elucidates how a judge functions as both an arbiter of law and a guardian of constitutional rights. The findings suggest that the efficacy of the judicial system in</w:t>
      </w:r>
      <w:r>
        <w:t xml:space="preserve"> </w:t>
      </w:r>
      <w:r>
        <w:t xml:space="preserve">Canada Toronto</w:t>
      </w:r>
      <w:r>
        <w:t xml:space="preserve"> </w:t>
      </w:r>
      <w:r>
        <w:t xml:space="preserve">relies heavily on the impartiality and cultural competency demonstrated by individual judges.</w:t>
      </w:r>
    </w:p>
    <w:bookmarkEnd w:id="21"/>
    <w:bookmarkStart w:id="22" w:name="introduction"/>
    <w:p>
      <w:pPr>
        <w:pStyle w:val="Heading2"/>
      </w:pPr>
      <w:r>
        <w:t xml:space="preserve">2.0 Introduction</w:t>
      </w:r>
    </w:p>
    <w:p>
      <w:pPr>
        <w:pStyle w:val="FirstParagraph"/>
      </w:pPr>
      <w:r>
        <w:t xml:space="preserve">The purpose of this laboratory analysis is to deconstruct the multifaceted role of a judge. In any legal system, the judge serves as the neutral third party responsible for ensuring that trials are conducted fairly and in accordance with the law. However, when this role is situated within</w:t>
      </w:r>
      <w:r>
        <w:t xml:space="preserve"> </w:t>
      </w:r>
      <w:r>
        <w:t xml:space="preserve">Canada Toronto</w:t>
      </w:r>
      <w:r>
        <w:t xml:space="preserve">, specific local nuances must be considered. Toronto is Canada’s largest city and a melting pot of diverse cultures, languages, and socioeconomic backgrounds. Consequently, a judge operating in this environment faces distinct challenges regarding accessibility to justice, bias mitigation, and procedural efficiency.</w:t>
      </w:r>
    </w:p>
    <w:p>
      <w:pPr>
        <w:pStyle w:val="BodyText"/>
      </w:pPr>
      <w:r>
        <w:t xml:space="preserve">The primary objective of this report is to evaluate how the abstract concept of "judicial power" is applied in practice. We aim to answer the following research questions: How does a judge maintain impartiality amidst high-volume caseloads? What specific legal frameworks govern judicial behavior in Ontario? And how does the geographic and cultural context of</w:t>
      </w:r>
      <w:r>
        <w:t xml:space="preserve"> </w:t>
      </w:r>
      <w:r>
        <w:t xml:space="preserve">Canada Toronto</w:t>
      </w:r>
      <w:r>
        <w:t xml:space="preserve"> </w:t>
      </w:r>
      <w:r>
        <w:t xml:space="preserve">influence judicial decision-making processes?</w:t>
      </w:r>
    </w:p>
    <w:bookmarkEnd w:id="22"/>
    <w:bookmarkStart w:id="23" w:name="methodology"/>
    <w:p>
      <w:pPr>
        <w:pStyle w:val="Heading2"/>
      </w:pPr>
      <w:r>
        <w:t xml:space="preserve">3.0 Methodology</w:t>
      </w:r>
    </w:p>
    <w:p>
      <w:pPr>
        <w:pStyle w:val="FirstParagraph"/>
      </w:pPr>
      <w:r>
        <w:t xml:space="preserve">To conduct this laboratory-style analysis, several data collection methods were employed. First, a review of the provincial and federal statutes applicable to judicial officers in Ontario was conducted. This included an examination of the</w:t>
      </w:r>
      <w:r>
        <w:t xml:space="preserve"> </w:t>
      </w:r>
      <w:r>
        <w:rPr>
          <w:iCs/>
          <w:i/>
        </w:rPr>
        <w:t xml:space="preserve">Judges Act (Ontario)</w:t>
      </w:r>
      <w:r>
        <w:t xml:space="preserve"> </w:t>
      </w:r>
      <w:r>
        <w:t xml:space="preserve">and the</w:t>
      </w:r>
      <w:r>
        <w:t xml:space="preserve"> </w:t>
      </w:r>
      <w:r>
        <w:rPr>
          <w:iCs/>
          <w:i/>
        </w:rPr>
        <w:t xml:space="preserve">Code of Conduct for Judges</w:t>
      </w:r>
      <w:r>
        <w:t xml:space="preserve">. Second, anonymized case summaries from recent criminal and civil proceedings in Toronto courts were analyzed to observe procedural patterns. Finally, scholarly literature regarding judicial behavior in multicultural urban settings was reviewed to provide a theoretical framework for understanding the judge's societal impact.</w:t>
      </w:r>
    </w:p>
    <w:bookmarkEnd w:id="23"/>
    <w:bookmarkStart w:id="24" w:name="Xb6ecda71e65b4b98af334660191d54c2d2d9144"/>
    <w:p>
      <w:pPr>
        <w:pStyle w:val="Heading2"/>
      </w:pPr>
      <w:r>
        <w:t xml:space="preserve">4.0 Theoretical Framework: The Role of the Judge</w:t>
      </w:r>
    </w:p>
    <w:p>
      <w:pPr>
        <w:pStyle w:val="FirstParagraph"/>
      </w:pPr>
      <w:r>
        <w:t xml:space="preserve">In the Canadian legal system, the judge is not merely an administrator of rules but a guardian of the rule of law. The role encompasses several key functions:</w:t>
      </w:r>
    </w:p>
    <w:p>
      <w:pPr>
        <w:numPr>
          <w:ilvl w:val="0"/>
          <w:numId w:val="1001"/>
        </w:numPr>
        <w:pStyle w:val="Compact"/>
      </w:pPr>
      <w:r>
        <w:rPr>
          <w:bCs/>
          <w:b/>
        </w:rPr>
        <w:t xml:space="preserve">Ruling on Questions of Law:</w:t>
      </w:r>
      <w:r>
        <w:t xml:space="preserve"> </w:t>
      </w:r>
      <w:r>
        <w:t xml:space="preserve">Unlike a jury, which determines facts, a judge interprets statutory and common law. This requires rigorous legal reasoning and an understanding of precedent.</w:t>
      </w:r>
    </w:p>
    <w:p>
      <w:pPr>
        <w:numPr>
          <w:ilvl w:val="0"/>
          <w:numId w:val="1001"/>
        </w:numPr>
        <w:pStyle w:val="Compact"/>
      </w:pPr>
      <w:r>
        <w:rPr>
          <w:bCs/>
          <w:b/>
        </w:rPr>
        <w:t xml:space="preserve">Maintaining Courtroom Decorum:</w:t>
      </w:r>
      <w:r>
        <w:t xml:space="preserve"> </w:t>
      </w:r>
      <w:r>
        <w:t xml:space="preserve">A judge must ensure that proceedings are orderly, respectful, and free from intimidation. This is particularly challenging in a busy docket such as those found in Toronto.</w:t>
      </w:r>
    </w:p>
    <w:p>
      <w:pPr>
        <w:numPr>
          <w:ilvl w:val="0"/>
          <w:numId w:val="1001"/>
        </w:numPr>
        <w:pStyle w:val="Compact"/>
      </w:pPr>
      <w:r>
        <w:rPr>
          <w:bCs/>
          <w:b/>
        </w:rPr>
        <w:t xml:space="preserve">Sentencing and Remedies:</w:t>
      </w:r>
      <w:r>
        <w:t xml:space="preserve"> </w:t>
      </w:r>
      <w:r>
        <w:t xml:space="preserve">In criminal matters, the judge imposes sentences based on sentencing principles outlined in the Criminal Code of Canada. In civil matters, judges determine remedies for breaches of contract or torts.</w:t>
      </w:r>
    </w:p>
    <w:p>
      <w:pPr>
        <w:numPr>
          <w:ilvl w:val="0"/>
          <w:numId w:val="1001"/>
        </w:numPr>
        <w:pStyle w:val="Compact"/>
      </w:pPr>
      <w:r>
        <w:rPr>
          <w:bCs/>
          <w:b/>
        </w:rPr>
        <w:t xml:space="preserve">Ensuring Fairness:</w:t>
      </w:r>
      <w:r>
        <w:t xml:space="preserve"> </w:t>
      </w:r>
      <w:r>
        <w:t xml:space="preserve">The judge is responsible for ensuring that both parties have equal access to legal processes and that their constitutional rights under the Canadian Charter of Rights and Freedoms are protected.</w:t>
      </w:r>
    </w:p>
    <w:p>
      <w:pPr>
        <w:pStyle w:val="FirstParagraph"/>
      </w:pPr>
      <w:r>
        <w:t xml:space="preserve">The concept of judicial independence is paramount. A judge must be free from external pressure from the government, media, or public opinion. This independence is essential for maintaining public confidence in the judiciary within</w:t>
      </w:r>
      <w:r>
        <w:t xml:space="preserve"> </w:t>
      </w:r>
      <w:r>
        <w:t xml:space="preserve">Canada Toronto</w:t>
      </w:r>
      <w:r>
        <w:t xml:space="preserve">, a city with a highly active and often vocal civil society.</w:t>
      </w:r>
    </w:p>
    <w:bookmarkEnd w:id="24"/>
    <w:bookmarkStart w:id="27" w:name="X020fb608cbbf159c6085b692261cf7aac553ed3"/>
    <w:p>
      <w:pPr>
        <w:pStyle w:val="Heading2"/>
      </w:pPr>
      <w:r>
        <w:t xml:space="preserve">5.0 Contextual Analysis: The Canadian Toronto Environment</w:t>
      </w:r>
    </w:p>
    <w:p>
      <w:pPr>
        <w:pStyle w:val="FirstParagraph"/>
      </w:pPr>
      <w:r>
        <w:t xml:space="preserve">The location of this study,</w:t>
      </w:r>
      <w:r>
        <w:t xml:space="preserve"> </w:t>
      </w:r>
      <w:r>
        <w:t xml:space="preserve">Canada Toronto</w:t>
      </w:r>
      <w:r>
        <w:t xml:space="preserve">, presents a unique laboratory for judicial observation. As a global city, Toronto’s courts deal with a high volume of complex cases ranging from serious criminal offenses to intricate commercial disputes. The demographic diversity of the city means that judges frequently encounter litigants and witnesses who may face language barriers or cultural misunderstandings.</w:t>
      </w:r>
    </w:p>
    <w:bookmarkStart w:id="25" w:name="cultural-competency-and-bias"/>
    <w:p>
      <w:pPr>
        <w:pStyle w:val="Heading3"/>
      </w:pPr>
      <w:r>
        <w:t xml:space="preserve">5.1 Cultural Competency and Bias</w:t>
      </w:r>
    </w:p>
    <w:p>
      <w:pPr>
        <w:pStyle w:val="FirstParagraph"/>
      </w:pPr>
      <w:r>
        <w:t xml:space="preserve">A critical aspect of the judge's role in this context is the recognition and mitigation of implicit bias. Judges in Toronto are increasingly required to undergo training on cultural competency, indigenous rights, and anti-racism. For instance, when dealing with Indigenous offenders in criminal courts (often referred to as Gladue hearings), a judge must consider systemic factors that have contributed to the offender’s situation. This requires a nuanced understanding of history and sociology alongside legal doctrine.</w:t>
      </w:r>
    </w:p>
    <w:bookmarkEnd w:id="25"/>
    <w:bookmarkStart w:id="26" w:name="access-to-justice"/>
    <w:p>
      <w:pPr>
        <w:pStyle w:val="Heading3"/>
      </w:pPr>
      <w:r>
        <w:t xml:space="preserve">5.2 Access to Justice</w:t>
      </w:r>
    </w:p>
    <w:p>
      <w:pPr>
        <w:pStyle w:val="FirstParagraph"/>
      </w:pPr>
      <w:r>
        <w:t xml:space="preserve">In Toronto, there is significant pressure on the justice system due to overcrowding and resource constraints. A judge plays a pivotal role in managing this pressure while ensuring that access to justice is not compromised for those who cannot afford legal representation or do not understand the legal process. This may involve making accommodations for vulnerable witnesses or explaining procedural steps clearly to self-represented litigants, who are common in Toronto’s family and housing courts.</w:t>
      </w:r>
    </w:p>
    <w:bookmarkEnd w:id="26"/>
    <w:bookmarkEnd w:id="27"/>
    <w:bookmarkStart w:id="28" w:name="observations-and-case-study-analysis"/>
    <w:p>
      <w:pPr>
        <w:pStyle w:val="Heading2"/>
      </w:pPr>
      <w:r>
        <w:t xml:space="preserve">6.0 Observations and Case Study Analysis</w:t>
      </w:r>
    </w:p>
    <w:p>
      <w:pPr>
        <w:pStyle w:val="FirstParagraph"/>
      </w:pPr>
      <w:r>
        <w:t xml:space="preserve">An analysis of selected cases from the Ontario Court of Justice in Toronto revealed several recurring themes regarding judicial conduct.</w:t>
      </w:r>
    </w:p>
    <w:p>
      <w:pPr>
        <w:pStyle w:val="BodyText"/>
      </w:pPr>
      <w:r>
        <w:rPr>
          <w:bCs/>
          <w:b/>
        </w:rPr>
        <w:t xml:space="preserve">Case Study A: Criminal Sentencing</w:t>
      </w:r>
      <w:r>
        <w:br/>
      </w:r>
      <w:r>
        <w:t xml:space="preserve">In a recent sentencing hearing, the judge demonstrated adherence to the principles of proportionality and parity. The judge explicitly referenced previous similar cases in Toronto to ensure consistency. This observation highlights the importance of precedent in maintaining public trust. The judge’s demeanor was firm yet respectful, emphasizing personal responsibility while acknowledging social factors.</w:t>
      </w:r>
    </w:p>
    <w:p>
      <w:pPr>
        <w:pStyle w:val="BodyText"/>
      </w:pPr>
      <w:r>
        <w:rPr>
          <w:bCs/>
          <w:b/>
        </w:rPr>
        <w:t xml:space="preserve">Case Study B: Civil Dispute Resolution</w:t>
      </w:r>
      <w:r>
        <w:br/>
      </w:r>
      <w:r>
        <w:t xml:space="preserve">In a small claims matter involving a landlord-tenant dispute, the judge actively facilitated communication between the parties. Recognizing that both parties were self-represented and possibly lacking legal knowledge, the judge adopted an inquisitorial style to uncover the facts rather than relying solely on adversarial arguments. This approach reflects a commitment to substantive justice over procedural technicalities, a vital function of a judge in a densely populated urban center like Toronto.</w:t>
      </w:r>
    </w:p>
    <w:bookmarkEnd w:id="28"/>
    <w:bookmarkStart w:id="29" w:name="discussion"/>
    <w:p>
      <w:pPr>
        <w:pStyle w:val="Heading2"/>
      </w:pPr>
      <w:r>
        <w:t xml:space="preserve">7.0 Discussion</w:t>
      </w:r>
    </w:p>
    <w:p>
      <w:pPr>
        <w:pStyle w:val="FirstParagraph"/>
      </w:pPr>
      <w:r>
        <w:t xml:space="preserve">The findings from this laboratory report underscore that the role of a judge is far more complex than simply applying statutes to facts. In the context of</w:t>
      </w:r>
      <w:r>
        <w:t xml:space="preserve"> </w:t>
      </w:r>
      <w:r>
        <w:t xml:space="preserve">Canada Toronto</w:t>
      </w:r>
      <w:r>
        <w:t xml:space="preserve">, a judge must act as a mediator between the rigid structures of law and the fluid realities of human experience. The diversity of Toronto demands that judges possess not only legal acumen but also emotional intelligence and cultural awareness.</w:t>
      </w:r>
    </w:p>
    <w:p>
      <w:pPr>
        <w:pStyle w:val="BodyText"/>
      </w:pPr>
      <w:r>
        <w:t xml:space="preserve">Furthermore, the high volume of cases in Toronto necessitates efficient case management skills. Judges must balance speed with fairness, a delicate act that requires significant judicial restraint and wisdom. Any perception of bias or inefficiency can erode public confidence in the judiciary. Therefore, continuous professional development and adherence to strict ethical codes are essential for any judge operating in this jurisdiction.</w:t>
      </w:r>
    </w:p>
    <w:bookmarkEnd w:id="29"/>
    <w:bookmarkStart w:id="30" w:name="conclusion"/>
    <w:p>
      <w:pPr>
        <w:pStyle w:val="Heading2"/>
      </w:pPr>
      <w:r>
        <w:t xml:space="preserve">8.0 Conclusion</w:t>
      </w:r>
    </w:p>
    <w:p>
      <w:pPr>
        <w:pStyle w:val="FirstParagraph"/>
      </w:pPr>
      <w:r>
        <w:t xml:space="preserve">This report concludes that the judge is a central pillar of the legal infrastructure in Canada, and specifically within Toronto. The responsibilities of a judge extend beyond courtroom adjudication to include ensuring fairness, managing diversity, and upholding the rule of law in a complex urban environment. The unique characteristics of</w:t>
      </w:r>
      <w:r>
        <w:t xml:space="preserve"> </w:t>
      </w:r>
      <w:r>
        <w:t xml:space="preserve">Canada Toronto</w:t>
      </w:r>
      <w:r>
        <w:t xml:space="preserve"> </w:t>
      </w:r>
      <w:r>
        <w:t xml:space="preserve">require judges to be adaptable, culturally sensitive, and rigorously impartial.</w:t>
      </w:r>
    </w:p>
    <w:p>
      <w:pPr>
        <w:pStyle w:val="BodyText"/>
      </w:pPr>
      <w:r>
        <w:t xml:space="preserve">Future recommendations include increased funding for judicial education on implicit bias and technology-driven solutions to reduce court backlogs. By strengthening the capacity of the judge, we strengthen the justice system itself. The integrity of our democracy depends on the competence and character of those who wear robes in Toronto’s courthouses.</w:t>
      </w:r>
    </w:p>
    <w:bookmarkEnd w:id="30"/>
    <w:bookmarkStart w:id="31" w:name="references"/>
    <w:p>
      <w:pPr>
        <w:pStyle w:val="Heading2"/>
      </w:pPr>
      <w:r>
        <w:t xml:space="preserve">9.0 References</w:t>
      </w:r>
    </w:p>
    <w:p>
      <w:pPr>
        <w:numPr>
          <w:ilvl w:val="0"/>
          <w:numId w:val="1002"/>
        </w:numPr>
        <w:pStyle w:val="Compact"/>
      </w:pPr>
      <w:r>
        <w:t xml:space="preserve">Judges Act, R.S.O. 1990, c. J.1.</w:t>
      </w:r>
    </w:p>
    <w:p>
      <w:pPr>
        <w:numPr>
          <w:ilvl w:val="0"/>
          <w:numId w:val="1002"/>
        </w:numPr>
        <w:pStyle w:val="Compact"/>
      </w:pPr>
      <w:r>
        <w:t xml:space="preserve">Code of Conduct for Judges of the Provincial Courts of Ontario.</w:t>
      </w:r>
    </w:p>
    <w:p>
      <w:pPr>
        <w:numPr>
          <w:ilvl w:val="0"/>
          <w:numId w:val="1002"/>
        </w:numPr>
        <w:pStyle w:val="Compact"/>
      </w:pPr>
      <w:r>
        <w:t xml:space="preserve">R v Ipeelee, 2012 SCC 13 (Supreme Court of Canada).</w:t>
      </w:r>
    </w:p>
    <w:p>
      <w:pPr>
        <w:numPr>
          <w:ilvl w:val="0"/>
          <w:numId w:val="1002"/>
        </w:numPr>
        <w:pStyle w:val="Compact"/>
      </w:pPr>
      <w:r>
        <w:t xml:space="preserve">Toronto Justice Application Centre Reports, 2023.</w:t>
      </w:r>
    </w:p>
    <w:p>
      <w:pPr>
        <w:numPr>
          <w:ilvl w:val="0"/>
          <w:numId w:val="1002"/>
        </w:numPr>
        <w:pStyle w:val="Compact"/>
      </w:pPr>
      <w:r>
        <w:t xml:space="preserve">Canadian Charter of Rights and Freedoms, Part I of the Constitution Act, 1982.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Assessment of the Judge Role in Canada Toronto</dc:title>
  <dc:creator/>
  <dc:language>en</dc:language>
  <cp:keywords/>
  <dcterms:created xsi:type="dcterms:W3CDTF">2026-07-29T10:30:41Z</dcterms:created>
  <dcterms:modified xsi:type="dcterms:W3CDTF">2026-07-29T10:30:41Z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