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Juridical</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Tehran,</w:t>
      </w:r>
      <w:r>
        <w:t xml:space="preserve"> </w:t>
      </w:r>
      <w:r>
        <w:t xml:space="preserve">Iran</w:t>
      </w:r>
    </w:p>
    <w:bookmarkStart w:id="21" w:name="X23f5b88a0fa07713718a3d6cdb487c0dd76906c"/>
    <w:p>
      <w:pPr>
        <w:pStyle w:val="Heading1"/>
      </w:pPr>
      <w:r>
        <w:t xml:space="preserve">Laboratory Analysis of the Judicial Framework</w:t>
      </w:r>
    </w:p>
    <w:bookmarkStart w:id="20" w:name="X15e1abcb044eba2a8979f2702a102530f0d7ad1"/>
    <w:p>
      <w:pPr>
        <w:pStyle w:val="Heading2"/>
      </w:pPr>
      <w:r>
        <w:t xml:space="preserve">The Role, Authority, and Procedural Dynamics of the Judge within Tehran, Iran</w:t>
      </w:r>
    </w:p>
    <w:p>
      <w:pPr>
        <w:pStyle w:val="FirstParagraph"/>
      </w:pPr>
      <w:r>
        <w:rPr>
          <w:bCs/>
          <w:b/>
        </w:rPr>
        <w:t xml:space="preserve">Date:</w:t>
      </w:r>
      <w:r>
        <w:t xml:space="preserve"> </w:t>
      </w:r>
      <w:r>
        <w:t xml:space="preserve">October 26, 2023</w:t>
      </w:r>
      <w:r>
        <w:br/>
      </w:r>
      <w:r>
        <w:br/>
      </w:r>
      <w:r>
        <w:rPr>
          <w:bCs/>
          <w:b/>
        </w:rPr>
        <w:t xml:space="preserve">Status:</w:t>
      </w:r>
      <w:r>
        <w:t xml:space="preserve"> </w:t>
      </w:r>
      <w:r>
        <w:t xml:space="preserve">Confidential Academic Review</w:t>
      </w:r>
      <w:r>
        <w:br/>
      </w:r>
    </w:p>
    <w:bookmarkEnd w:id="20"/>
    <w:bookmarkEnd w:id="21"/>
    <w:bookmarkStart w:id="22" w:name="abstract"/>
    <w:p>
      <w:pPr>
        <w:pStyle w:val="Heading3"/>
      </w:pPr>
      <w:r>
        <w:t xml:space="preserve">1. Abstract</w:t>
      </w:r>
    </w:p>
    <w:p>
      <w:pPr>
        <w:pStyle w:val="FirstParagraph"/>
      </w:pPr>
      <w:r>
        <w:t xml:space="preserve">This document serves as a comprehensive "Lab Report" detailing the operational mechanics, theological underpinnings, and procedural realities of the judiciary in Tehran, Iran. The primary subject of this analysis is the "Judge," a figure who operates at the intersection of Islamic jurisprudence (Fiqh), civil law codes, and modern state administration. By examining the specific legal environment of "Iran Tehran," we aim to deconstruct how judicial decisions are rendered, how authority is validated through religious legitimacy, and how these elements converge in one of the most complex legal systems in the Middle East. This report isolates variables such as statutory interpretation, evidentiary standards, and appellate review mechanisms to provide a holistic view of justice administration.</w:t>
      </w:r>
    </w:p>
    <w:bookmarkEnd w:id="22"/>
    <w:bookmarkStart w:id="24" w:name="introduction"/>
    <w:bookmarkStart w:id="23" w:name="Xa7de591431e1ceabcbba6885b83701ae8f287ec"/>
    <w:p>
      <w:pPr>
        <w:pStyle w:val="Heading3"/>
      </w:pPr>
      <w:r>
        <w:t xml:space="preserve">2. Introduction: Contextualizing the Judicial System</w:t>
      </w:r>
    </w:p>
    <w:p>
      <w:pPr>
        <w:pStyle w:val="FirstParagraph"/>
      </w:pPr>
      <w:r>
        <w:t xml:space="preserve">To understand the role of the Judge in Iran Tehran, one must first appreciate that this is not merely a secular administrative function but a sacred duty. The legal system is a hybrid, blending French civil law structures with Islamic Sharia principles. In Tehran, as the capital and largest city of Iran, this hybridization is most visible due to the concentration of higher courts and specialized tribunals.</w:t>
      </w:r>
    </w:p>
    <w:p>
      <w:pPr>
        <w:pStyle w:val="BodyText"/>
      </w:pPr>
      <w:r>
        <w:t xml:space="preserve">The "Lab Report" methodology applied here involves observing the judge not as an isolated arbiter but as a node within a broader network controlled by the Supreme Leader. The head of the judiciary in Iran is appointed directly by the Supreme Leader, which cascades down to judges in Tehran. Therefore, when we analyze the Judge, we are analyzing an agent of both divine law and state stability.</w:t>
      </w:r>
    </w:p>
    <w:p>
      <w:pPr>
        <w:pStyle w:val="BodyText"/>
      </w:pPr>
      <w:r>
        <w:t xml:space="preserve">The significance of "Iran Tehran" lies in its role as the epicenter of legal precedent. Decisions made by courts in Tehran often set trends for provincial courts. The density of legal cases in Tehran is immense, ranging from economic disputes to political offenses, creating a high-pressure environment for judges who must balance mercy, strict textualism, and political sensitivity.</w:t>
      </w:r>
    </w:p>
    <w:bookmarkEnd w:id="23"/>
    <w:bookmarkEnd w:id="24"/>
    <w:bookmarkStart w:id="26" w:name="objectives"/>
    <w:bookmarkStart w:id="25" w:name="objectives-of-the-study"/>
    <w:p>
      <w:pPr>
        <w:pStyle w:val="Heading3"/>
      </w:pPr>
      <w:r>
        <w:t xml:space="preserve">3. Objectives of the Study</w:t>
      </w:r>
    </w:p>
    <w:p>
      <w:pPr>
        <w:numPr>
          <w:ilvl w:val="0"/>
          <w:numId w:val="1001"/>
        </w:numPr>
        <w:pStyle w:val="Compact"/>
      </w:pPr>
      <w:r>
        <w:t xml:space="preserve">To define the constitutional and religious qualifications required to serve as a Judge in Iran Tehran.</w:t>
      </w:r>
    </w:p>
    <w:p>
      <w:pPr>
        <w:numPr>
          <w:ilvl w:val="0"/>
          <w:numId w:val="1001"/>
        </w:numPr>
        <w:pStyle w:val="Compact"/>
      </w:pPr>
      <w:r>
        <w:t xml:space="preserve">To analyze the procedural workflow of a typical case heard by a Judge in Iranian courts.</w:t>
      </w:r>
    </w:p>
    <w:p>
      <w:pPr>
        <w:numPr>
          <w:ilvl w:val="0"/>
          <w:numId w:val="1001"/>
        </w:numPr>
        <w:pStyle w:val="Compact"/>
      </w:pPr>
      <w:r>
        <w:t xml:space="preserve">To evaluate the impact of Islamic jurisprudence on judicial reasoning compared to secular legal frameworks.</w:t>
      </w:r>
    </w:p>
    <w:p>
      <w:pPr>
        <w:pStyle w:val="FirstParagraph"/>
      </w:pPr>
      <w:r>
        <w:rPr>
          <w:bCs/>
          <w:b/>
        </w:rPr>
        <w:t xml:space="preserve">Figure 1:</w:t>
      </w:r>
      <w:r>
        <w:t xml:space="preserve"> </w:t>
      </w:r>
      <w:r>
        <w:t xml:space="preserve">The Hierarchy of Courts in Tehran (Simplified Overview)</w:t>
      </w:r>
    </w:p>
    <w:p>
      <w:pPr>
        <w:pStyle w:val="BodyText"/>
      </w:pPr>
      <w:r>
        <w:t xml:space="preserve">Court Level</w:t>
      </w:r>
    </w:p>
    <w:bookmarkEnd w:id="25"/>
    <w:bookmarkEnd w:id="26"/>
    <w:p>
      <w:pPr>
        <w:pStyle w:val="BodyText"/>
      </w:pPr>
      <w:r>
        <w:t xml:space="preserve">Jurisdiction</w:t>
      </w:r>
    </w:p>
    <w:p>
      <w:pPr>
        <w:pStyle w:val="BodyText"/>
      </w:pPr>
      <w:r>
        <w:t xml:space="preserve">Supreme Court</w:t>
      </w:r>
    </w:p>
    <w:p>
      <w:pPr>
        <w:pStyle w:val="BodyText"/>
      </w:pPr>
      <w:r>
        <w:t xml:space="preserve">Final appellate review, ensuring uniformity of law.</w:t>
      </w:r>
    </w:p>
    <w:p>
      <w:pPr>
        <w:pStyle w:val="BodyText"/>
      </w:pPr>
      <w:r>
        <w:t xml:space="preserve">Tribunals of Appeals Criminal and Civil appeals.General Courts</w:t>
      </w:r>
    </w:p>
    <w:bookmarkStart w:id="27" w:name="Xbb94ca0d1d0898e9116eb72e6b41fdfbddeda84"/>
    <w:p>
      <w:pPr>
        <w:pStyle w:val="Heading3"/>
      </w:pPr>
      <w:r>
        <w:t xml:space="preserve">4. Methodological Framework: How a Judge Operates</w:t>
      </w:r>
    </w:p>
    <w:p>
      <w:pPr>
        <w:pStyle w:val="FirstParagraph"/>
      </w:pPr>
      <w:r>
        <w:t xml:space="preserve">The investigation into the function of the Judge requires an understanding of the sources of law. In Iran Tehran, a judge does not look solely to statutes (though they exist) but primarily to the Quran, the Sunnah (traditions of Prophet Muhammad), and Ijma (consensus). However, in practice, judges rely heavily on codified laws such as the Islamic Penal Code and the Civil Code.</w:t>
      </w:r>
    </w:p>
    <w:p>
      <w:pPr>
        <w:pStyle w:val="BodyText"/>
      </w:pPr>
      <w:r>
        <w:rPr>
          <w:bCs/>
          <w:b/>
        </w:rPr>
        <w:t xml:space="preserve">The Role of Discretion:</w:t>
      </w:r>
      <w:r>
        <w:br/>
      </w:r>
      <w:r>
        <w:t xml:space="preserve">Unlike common law systems where stare decisis (precedent) is binding, Iranian law does not formally recognize judicial precedent. However, a Judge in Tehran often looks to previous decisions by the Supreme Court for guidance. This creates an informal but powerful body of case law.</w:t>
      </w:r>
    </w:p>
    <w:p>
      <w:pPr>
        <w:pStyle w:val="BodyText"/>
      </w:pPr>
      <w:r>
        <w:rPr>
          <w:bCs/>
          <w:b/>
        </w:rPr>
        <w:t xml:space="preserve">Evidentiary Standards:</w:t>
      </w:r>
      <w:r>
        <w:br/>
      </w:r>
      <w:r>
        <w:t xml:space="preserve"> </w:t>
      </w:r>
      <w:r>
        <w:t xml:space="preserve">One critical aspect of the Judge’s role is the acceptance of evidence. In criminal cases involving hudud (fixed punishments), a confession or witness testimony from two righteous men is traditionally required. However, in modern courts in Iran Tehran, forensic evidence and digital records are increasingly accepted, reflecting a shift towards positivist legal thinking while maintaining religious veneers.</w:t>
      </w:r>
    </w:p>
    <w:bookmarkEnd w:id="27"/>
    <w:bookmarkStart w:id="29" w:name="results"/>
    <w:bookmarkStart w:id="28" w:name="X9fa0bd2f4f1cfa9cd702a5a43b0119f9220b92a"/>
    <w:p>
      <w:pPr>
        <w:pStyle w:val="Heading3"/>
      </w:pPr>
      <w:r>
        <w:t xml:space="preserve">5. Results: Key Findings on Judicial Practice</w:t>
      </w:r>
    </w:p>
    <w:p>
      <w:pPr>
        <w:pStyle w:val="FirstParagraph"/>
      </w:pPr>
      <w:r>
        <w:t xml:space="preserve">The analysis yields several key observations regarding the Judge in Iran Tehran:</w:t>
      </w:r>
    </w:p>
    <w:p>
      <w:pPr>
        <w:numPr>
          <w:ilvl w:val="0"/>
          <w:numId w:val="1002"/>
        </w:numPr>
        <w:pStyle w:val="Compact"/>
      </w:pPr>
      <w:r>
        <w:rPr>
          <w:bCs/>
          <w:b/>
        </w:rPr>
        <w:t xml:space="preserve">Dual Authority:</w:t>
      </w:r>
      <w:r>
        <w:t xml:space="preserve"> </w:t>
      </w:r>
      <w:r>
        <w:t xml:space="preserve">The Judge is simultaneously a scholar of Sharia and a bureaucrat of the state. This duality creates tension, particularly in cases involving political dissent or social freedoms, where religious ideology may conflict with international human rights standards.</w:t>
      </w:r>
    </w:p>
    <w:p>
      <w:pPr>
        <w:numPr>
          <w:ilvl w:val="0"/>
          <w:numId w:val="1003"/>
        </w:numPr>
        <w:pStyle w:val="Compact"/>
      </w:pPr>
      <w:r>
        <w:rPr>
          <w:bCs/>
          <w:b/>
        </w:rPr>
        <w:t xml:space="preserve">Inquisitorial Procedure:</w:t>
      </w:r>
      <w:r>
        <w:br/>
      </w:r>
      <w:r>
        <w:t xml:space="preserve"> </w:t>
      </w:r>
      <w:r>
        <w:t xml:space="preserve">The court proceedings in Tehran are largely inquisitorial. The Judge actively investigates the facts, questions witnesses, and gathers evidence. This contrasts with adversarial systems where parties present their cases. The power of the Judge is therefore extensive and central.</w:t>
      </w:r>
    </w:p>
    <w:p>
      <w:pPr>
        <w:numPr>
          <w:ilvl w:val="0"/>
          <w:numId w:val="1004"/>
        </w:numPr>
        <w:pStyle w:val="Compact"/>
      </w:pPr>
      <w:r>
        <w:rPr>
          <w:bCs/>
          <w:b/>
        </w:rPr>
        <w:t xml:space="preserve">Sentencing Disparities:</w:t>
      </w:r>
      <w:r>
        <w:br/>
      </w:r>
      <w:r>
        <w:t xml:space="preserve"> </w:t>
      </w:r>
      <w:r>
        <w:t xml:space="preserve">Observations indicate that sentencing in Iran Tehran can vary significantly based on the specific court branch (e.g., Revolutionary Courts vs. General Public Courts). Judges in Revolutionary Courts, which handle security-related offenses, operate under different procedural rules and often exhibit less transparency than judges in civil courts.</w:t>
      </w:r>
    </w:p>
    <w:bookmarkEnd w:id="28"/>
    <w:bookmarkEnd w:id="29"/>
    <w:bookmarkStart w:id="31" w:name="discussion"/>
    <w:bookmarkStart w:id="30" w:name="X40a7718e9aaca0d5f477221fd6c356e7c6957c7"/>
    <w:p>
      <w:pPr>
        <w:pStyle w:val="Heading3"/>
      </w:pPr>
      <w:r>
        <w:t xml:space="preserve">6. Discussion: Implications of the Judge’s Role</w:t>
      </w:r>
    </w:p>
    <w:p>
      <w:pPr>
        <w:pStyle w:val="FirstParagraph"/>
      </w:pPr>
      <w:r>
        <w:t xml:space="preserve">The findings suggest that the "Judge" in Iran Tehran is not a neutral bystander but an active participant in shaping societal norms through legal interpretation. The strict adherence to Sharia principles means that concepts such as equality before the law are interpreted through religious lenses, leading to disparities based on gender and religion.</w:t>
      </w:r>
    </w:p>
    <w:p>
      <w:pPr>
        <w:pStyle w:val="BodyText"/>
      </w:pPr>
      <w:r>
        <w:t xml:space="preserve">Furthermore, the isolation of "Iran Tehran" within this report is crucial. As a metropolitan hub, it faces unique challenges—corruption, economic inequality—that test the resilience of judicial mechanisms. Judges here are often under pressure to deliver swift justice to maintain public order, yet they must navigate complex bureaucratic red tape.</w:t>
      </w:r>
    </w:p>
    <w:p>
      <w:pPr>
        <w:pStyle w:val="BodyText"/>
      </w:pPr>
      <w:r>
        <w:br/>
      </w:r>
    </w:p>
    <w:p>
      <w:pPr>
        <w:pStyle w:val="BodyText"/>
      </w:pPr>
      <w:r>
        <w:t xml:space="preserve">The interaction between technology and law is also emerging. Digital courts in Tehran are becoming more common, allowing for remote hearings and electronic filing. This modernization challenges traditional judges who may lack technical proficiency, potentially creating a gap between older jurists and younger litigants.</w:t>
      </w:r>
    </w:p>
    <w:bookmarkEnd w:id="30"/>
    <w:bookmarkEnd w:id="31"/>
    <w:bookmarkStart w:id="32" w:name="conclusion"/>
    <w:p>
      <w:pPr>
        <w:pStyle w:val="Heading3"/>
      </w:pPr>
      <w:r>
        <w:t xml:space="preserve">7. Conclusion</w:t>
      </w:r>
    </w:p>
    <w:p>
      <w:pPr>
        <w:pStyle w:val="FirstParagraph"/>
      </w:pPr>
      <w:r>
        <w:t xml:space="preserve">In conclusion, this Lab Report elucidates that the Judge in Iran Tehran operates within a complex matrix of theological doctrine and state power. The role is defined by a commitment to Islamic law, interpreted through the lens of the Islamic Republic’s constitution.</w:t>
      </w:r>
    </w:p>
    <w:p>
      <w:pPr>
        <w:pStyle w:val="BodyText"/>
      </w:pPr>
      <w:r>
        <w:br/>
      </w:r>
    </w:p>
    <w:p>
      <w:pPr>
        <w:pStyle w:val="BodyText"/>
      </w:pPr>
      <w:r>
        <w:t xml:space="preserve">The significance of studying this specific context cannot be overstated. For legal scholars, understanding how judges apply Fiqh in a modern urban setting like Tehran offers insights into the adaptability and rigidity of Islamic legal systems. It highlights that while the formality of procedure may resemble Western models (due to historical French influence), the substantive law remains deeply rooted in religious tradition.</w:t>
      </w:r>
    </w:p>
    <w:p>
      <w:pPr>
        <w:pStyle w:val="BodyText"/>
      </w:pPr>
      <w:r>
        <w:br/>
      </w:r>
    </w:p>
    <w:p>
      <w:pPr>
        <w:pStyle w:val="BodyText"/>
      </w:pPr>
      <w:r>
        <w:t xml:space="preserve">Future research should focus on comparative studies between judges in Iran Tehran and those in other Islamic republics or secular Middle Eastern states to further isolate variables related to religious authority versus judicial independence.</w:t>
      </w:r>
    </w:p>
    <w:bookmarkEnd w:id="32"/>
    <w:p>
      <w:pPr>
        <w:pStyle w:val="BodyText"/>
      </w:pPr>
      <w:r>
        <w:br/>
      </w:r>
    </w:p>
    <w:bookmarkStart w:id="33" w:name="references"/>
    <w:p>
      <w:pPr>
        <w:pStyle w:val="Heading3"/>
      </w:pPr>
      <w:r>
        <w:t xml:space="preserve">8. References</w:t>
      </w:r>
    </w:p>
    <w:p>
      <w:pPr>
        <w:numPr>
          <w:ilvl w:val="0"/>
          <w:numId w:val="1005"/>
        </w:numPr>
        <w:pStyle w:val="Compact"/>
      </w:pPr>
      <w:r>
        <w:t xml:space="preserve">Aghaie, K. (2016). *The Politics of Piety in Iran*. University of California Press.</w:t>
      </w:r>
    </w:p>
    <w:p>
      <w:pPr>
        <w:numPr>
          <w:ilvl w:val="0"/>
          <w:numId w:val="1005"/>
        </w:numPr>
        <w:pStyle w:val="Compact"/>
      </w:pPr>
      <w:r>
        <w:t xml:space="preserve">Hoodfar, H., &amp; Hosseini, M. (2019). *Women and Politics in Iran*. Syracuse University Press.</w:t>
      </w:r>
    </w:p>
    <w:p>
      <w:pPr>
        <w:numPr>
          <w:ilvl w:val="0"/>
          <w:numId w:val="1005"/>
        </w:numPr>
        <w:pStyle w:val="Compact"/>
      </w:pPr>
      <w:r>
        <w:t xml:space="preserve">Keddie, N. R. (2003). *Modern Iran: Roots and Results of Revolution*. Yale University Press.</w:t>
      </w:r>
    </w:p>
    <w:p>
      <w:pPr>
        <w:numPr>
          <w:ilvl w:val="0"/>
          <w:numId w:val="1005"/>
        </w:numPr>
        <w:pStyle w:val="Compact"/>
      </w:pPr>
      <w:r>
        <w:t xml:space="preserve">Legal Code of the Islamic Republic of Iran, Articles 4 through 167 (Constitution).</w:t>
      </w:r>
    </w:p>
    <w:p>
      <w:pPr>
        <w:pStyle w:val="FirstParagraph"/>
      </w:pPr>
      <w:r>
        <w:br/>
      </w:r>
      <w:r>
        <w:br/>
      </w:r>
      <w:r>
        <w:br/>
      </w:r>
    </w:p>
    <w:p>
      <w:pPr>
        <w:pStyle w:val="BodyText"/>
      </w:pPr>
      <w:r>
        <w:t xml:space="preserve">End of Lab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Juridical Function of the Judge in Tehran, Iran</dc:title>
  <dc:creator/>
  <dc:language>en</dc:language>
  <cp:keywords/>
  <dcterms:created xsi:type="dcterms:W3CDTF">2026-07-29T08:33:02Z</dcterms:created>
  <dcterms:modified xsi:type="dcterms:W3CDTF">2026-07-29T08:33:02Z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