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Analysis</w:t>
      </w:r>
      <w:r>
        <w:t xml:space="preserve"> </w:t>
      </w:r>
      <w:r>
        <w:t xml:space="preserve">of</w:t>
      </w:r>
      <w:r>
        <w:t xml:space="preserve"> </w:t>
      </w:r>
      <w:r>
        <w:t xml:space="preserve">the</w:t>
      </w:r>
      <w:r>
        <w:t xml:space="preserve"> </w:t>
      </w:r>
      <w:r>
        <w:t xml:space="preserve">Judicial</w:t>
      </w:r>
      <w:r>
        <w:t xml:space="preserve"> </w:t>
      </w:r>
      <w:r>
        <w:t xml:space="preserve">System</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1a3683aacd8a10852915762e85f4e439d518503"/>
    <w:p>
      <w:pPr>
        <w:pStyle w:val="Heading1"/>
      </w:pPr>
      <w:r>
        <w:t xml:space="preserve">Judicial System Analysis and Operational Framework</w:t>
      </w:r>
      <w:r>
        <w:br/>
      </w:r>
      <w:r>
        <w:rPr>
          <w:iCs/>
          <w:i/>
        </w:rPr>
        <w:t xml:space="preserve">Focused on the Republic of Iraq, Baghdad Region</w:t>
      </w:r>
    </w:p>
    <w:p>
      <w:pPr>
        <w:pStyle w:val="FirstParagraph"/>
      </w:pPr>
      <w:r>
        <w:rPr>
          <w:bCs/>
          <w:b/>
        </w:rPr>
        <w:t xml:space="preserve">Date:</w:t>
      </w:r>
      <w:r>
        <w:t xml:space="preserve"> </w:t>
      </w:r>
      <w:r>
        <w:t xml:space="preserve">October 26, 2023</w:t>
      </w:r>
      <w:r>
        <w:br/>
      </w:r>
      <w:r>
        <w:rPr>
          <w:bCs/>
          <w:b/>
        </w:rPr>
        <w:t xml:space="preserve">Type of Document:</w:t>
      </w:r>
      <w:r>
        <w:t xml:space="preserve"> </w:t>
      </w:r>
      <w:r>
        <w:t xml:space="preserve">Comprehensive Lab Report / Institutional Audit</w:t>
      </w:r>
    </w:p>
    <w:bookmarkEnd w:id="20"/>
    <w:bookmarkStart w:id="21" w:name="i.-abstract-and-introduction"/>
    <w:p>
      <w:pPr>
        <w:pStyle w:val="Heading1"/>
      </w:pPr>
      <w:r>
        <w:t xml:space="preserve">I. Abstract and Introduction</w:t>
      </w:r>
    </w:p>
    <w:p>
      <w:pPr>
        <w:pStyle w:val="FirstParagraph"/>
      </w:pPr>
      <w:r>
        <w:t xml:space="preserve">This laboratory report serves as a detailed analytical document regarding the structural, functional, and operational dynamics of the</w:t>
      </w:r>
      <w:r>
        <w:t xml:space="preserve"> </w:t>
      </w:r>
      <w:r>
        <w:rPr>
          <w:bCs/>
          <w:b/>
        </w:rPr>
        <w:t xml:space="preserve">Judge</w:t>
      </w:r>
      <w:r>
        <w:t xml:space="preserve"> </w:t>
      </w:r>
      <w:r>
        <w:t xml:space="preserve">system within the judicial framework of</w:t>
      </w:r>
      <w:r>
        <w:t xml:space="preserve"> </w:t>
      </w:r>
      <w:r>
        <w:rPr>
          <w:bCs/>
          <w:b/>
        </w:rPr>
        <w:t xml:space="preserve">Iraq Baghdad</w:t>
      </w:r>
      <w:r>
        <w:t xml:space="preserve">. In this context, "Laboratory" refers to an academic or investigative analysis environment where judicial practices are observed, measured against legal statutes (primarily Iraqi Civil Law), and evaluated for efficacy. The primary objective is to examine how a Judge operates within the specific socio-political and cultural landscape of</w:t>
      </w:r>
      <w:r>
        <w:t xml:space="preserve"> </w:t>
      </w:r>
      <w:r>
        <w:rPr>
          <w:bCs/>
          <w:b/>
        </w:rPr>
        <w:t xml:space="preserve">Iraq Baghdad</w:t>
      </w:r>
      <w:r>
        <w:t xml:space="preserve">. As the capital region, Baghdad holds a disproportionate amount of legal weight in Iraq, serving as the appellate hub for numerous lower courts. Therefore, understanding the role of a Judge here is critical for comprehending national legal trends.</w:t>
      </w:r>
    </w:p>
    <w:bookmarkEnd w:id="21"/>
    <w:bookmarkStart w:id="22" w:name="ii.-methodology-the-lab-environment"/>
    <w:p>
      <w:pPr>
        <w:pStyle w:val="Heading1"/>
      </w:pPr>
      <w:r>
        <w:t xml:space="preserve">II. Methodology: The "Lab" Environment</w:t>
      </w:r>
    </w:p>
    <w:p>
      <w:pPr>
        <w:pStyle w:val="FirstParagraph"/>
      </w:pPr>
      <w:r>
        <w:t xml:space="preserve">The methodology employed in this report mimics a scientific laboratory setting but applies it to sociological and legal studies. The "variables" include statutory laws, procedural codes, cultural norms, and political pressures. Data collection methods involved the review of the Iraqi Penal Code (1969), the Constitution of Iraq (2005), and observational reports from judicial observers within Baghdad's specialized courts.</w:t>
      </w:r>
    </w:p>
    <w:p>
      <w:pPr>
        <w:pStyle w:val="BodyText"/>
      </w:pPr>
      <w:r>
        <w:t xml:space="preserve">The "subject" of analysis is the</w:t>
      </w:r>
      <w:r>
        <w:t xml:space="preserve"> </w:t>
      </w:r>
      <w:r>
        <w:rPr>
          <w:bCs/>
          <w:b/>
        </w:rPr>
        <w:t xml:space="preserve">Judge</w:t>
      </w:r>
      <w:r>
        <w:t xml:space="preserve">, a figure who wields immense authority in maintaining order. The environment is strictly defined as</w:t>
      </w:r>
      <w:r>
        <w:t xml:space="preserve"> </w:t>
      </w:r>
      <w:r>
        <w:rPr>
          <w:bCs/>
          <w:b/>
        </w:rPr>
        <w:t xml:space="preserve">Iraq Baghdad</w:t>
      </w:r>
      <w:r>
        <w:t xml:space="preserve">, where high caseloads, complex security-related litigation, and traditional tribal mediations often intersect with formal state law.</w:t>
      </w:r>
    </w:p>
    <w:bookmarkEnd w:id="22"/>
    <w:bookmarkStart w:id="23" w:name="X9e50edc651d1360ff3be5e336094048986f728e"/>
    <w:p>
      <w:pPr>
        <w:pStyle w:val="Heading1"/>
      </w:pPr>
      <w:r>
        <w:t xml:space="preserve">III. Observations on the Role of the Judge in Iraq Baghdad</w:t>
      </w:r>
    </w:p>
    <w:p>
      <w:pPr>
        <w:pStyle w:val="FirstParagraph"/>
      </w:pPr>
      <w:r>
        <w:rPr>
          <w:bCs/>
          <w:b/>
        </w:rPr>
        <w:t xml:space="preserve">A. Dual Jurisdiction and Legal Complexity</w:t>
      </w:r>
      <w:r>
        <w:br/>
      </w:r>
      <w:r>
        <w:t xml:space="preserve">In</w:t>
      </w:r>
      <w:r>
        <w:t xml:space="preserve"> </w:t>
      </w:r>
      <w:r>
        <w:rPr>
          <w:bCs/>
          <w:b/>
        </w:rPr>
        <w:t xml:space="preserve">Iraq Baghdad</w:t>
      </w:r>
      <w:r>
        <w:t xml:space="preserve">, a Judge operates under a hybrid legal system that blends civil law traditions with elements of Sharia (Islamic law), particularly in personal status cases. This creates a unique testing ground for the</w:t>
      </w:r>
      <w:r>
        <w:t xml:space="preserve"> </w:t>
      </w:r>
      <w:r>
        <w:rPr>
          <w:bCs/>
          <w:b/>
        </w:rPr>
        <w:t xml:space="preserve">Judge</w:t>
      </w:r>
      <w:r>
        <w:t xml:space="preserve">. The observation reveals that Judges in the capital must possess dual expertise: one in codified statutory laws and another in religious jurisprudence. Unlike standard laboratory experiments where variables are controlled, a Judge's environment is fluid. A single case might require interpreting colonial-era codes, post-2003 constitutional amendments, and religious doctrines simultaneously.</w:t>
      </w:r>
    </w:p>
    <w:p>
      <w:pPr>
        <w:pStyle w:val="BodyText"/>
      </w:pPr>
      <w:r>
        <w:rPr>
          <w:bCs/>
          <w:b/>
        </w:rPr>
        <w:t xml:space="preserve">B. Security and Political Context</w:t>
      </w:r>
      <w:r>
        <w:br/>
      </w:r>
      <w:r>
        <w:t xml:space="preserve">The environment in</w:t>
      </w:r>
      <w:r>
        <w:t xml:space="preserve"> </w:t>
      </w:r>
      <w:r>
        <w:rPr>
          <w:bCs/>
          <w:b/>
        </w:rPr>
        <w:t xml:space="preserve">Iraq Baghdad</w:t>
      </w:r>
      <w:r>
        <w:t xml:space="preserve"> </w:t>
      </w:r>
      <w:r>
        <w:t xml:space="preserve">presents significant external pressures on the judiciary. Historical data indicates that Judges in the region often operate under security protocols due to threats from insurgent groups or political militias. This report identifies "security stress" as a major variable affecting judicial independence and decision-making speed. The "Lab Report" finds that while Judges strive for impartiality, the physical safety of legal professionals remains a critical constraint in</w:t>
      </w:r>
      <w:r>
        <w:t xml:space="preserve"> </w:t>
      </w:r>
      <w:r>
        <w:rPr>
          <w:bCs/>
          <w:b/>
        </w:rPr>
        <w:t xml:space="preserve">Iraq Baghdad</w:t>
      </w:r>
      <w:r>
        <w:t xml:space="preserve">.</w:t>
      </w:r>
    </w:p>
    <w:p>
      <w:pPr>
        <w:pStyle w:val="BodyText"/>
      </w:pPr>
      <w:r>
        <w:rPr>
          <w:bCs/>
          <w:b/>
        </w:rPr>
        <w:t xml:space="preserve">C. Administrative Overload and Efficiency</w:t>
      </w:r>
      <w:r>
        <w:br/>
      </w:r>
      <w:r>
        <w:t xml:space="preserve">One of the most significant findings is the bottleneck effect caused by administrative overload. In Baghdad, the volume of cases exceeds judicial capacity. A single Judge may be assigned hundreds of active files, ranging from civil disputes to capital crimes related to national security. The efficiency metrics show that "justice delayed" is a prevalent issue in</w:t>
      </w:r>
      <w:r>
        <w:t xml:space="preserve"> </w:t>
      </w:r>
      <w:r>
        <w:rPr>
          <w:bCs/>
          <w:b/>
        </w:rPr>
        <w:t xml:space="preserve">Iraq Baghdad</w:t>
      </w:r>
      <w:r>
        <w:t xml:space="preserve">. However, specialized courts established within the last decade aim to filter these cases, improving the performance metrics of the primary Judges.</w:t>
      </w:r>
    </w:p>
    <w:bookmarkEnd w:id="23"/>
    <w:bookmarkStart w:id="24" w:name="X1195bcd4af2b49c3a8e7f27cd3c79bb3348062c"/>
    <w:p>
      <w:pPr>
        <w:pStyle w:val="Heading1"/>
      </w:pPr>
      <w:r>
        <w:t xml:space="preserve">IV. Analysis of Judicial Procedures and Ethics</w:t>
      </w:r>
    </w:p>
    <w:p>
      <w:pPr>
        <w:pStyle w:val="FirstParagraph"/>
      </w:pPr>
      <w:r>
        <w:t xml:space="preserve">The ethical framework governing a</w:t>
      </w:r>
      <w:r>
        <w:t xml:space="preserve"> </w:t>
      </w:r>
      <w:r>
        <w:rPr>
          <w:bCs/>
          <w:b/>
        </w:rPr>
        <w:t xml:space="preserve">Judge</w:t>
      </w:r>
      <w:r>
        <w:t xml:space="preserve"> </w:t>
      </w:r>
      <w:r>
        <w:t xml:space="preserve">in</w:t>
      </w:r>
      <w:r>
        <w:t xml:space="preserve"> </w:t>
      </w:r>
      <w:r>
        <w:rPr>
          <w:bCs/>
          <w:b/>
        </w:rPr>
        <w:t xml:space="preserve">Iraq Baghdad</w:t>
      </w:r>
      <w:r>
        <w:t xml:space="preserve"> </w:t>
      </w:r>
      <w:r>
        <w:t xml:space="preserve">is codified in professional conduct standards that mandate impartiality, integrity, and confidentiality. The "experiment" here tests how well these codes are adhered to in practice. Observations suggest that while the theoretical framework is robust, practical implementation varies.</w:t>
      </w:r>
    </w:p>
    <w:p>
      <w:pPr>
        <w:pStyle w:val="BodyText"/>
      </w:pPr>
      <w:r>
        <w:t xml:space="preserve">In civil litigation within</w:t>
      </w:r>
      <w:r>
        <w:t xml:space="preserve"> </w:t>
      </w:r>
      <w:r>
        <w:rPr>
          <w:bCs/>
          <w:b/>
        </w:rPr>
        <w:t xml:space="preserve">Iraq Baghdad</w:t>
      </w:r>
      <w:r>
        <w:t xml:space="preserve">, Judges often act as active investigators rather than passive referees, a trait common in civil law systems but less so in common law traditions. This proactive role requires deep engagement with local community dynamics. The report notes that cultural sensitivity is as important to the successful execution of a Judge's duty as legal knowledge.</w:t>
      </w:r>
    </w:p>
    <w:p>
      <w:pPr>
        <w:pStyle w:val="BodyText"/>
      </w:pPr>
      <w:r>
        <w:t xml:space="preserve">Furthermore, the use of technology has been introduced into Baghdad's courts to digitize records, aiming to reduce corruption and improve transparency. This digital shift represents a modern variable in our "Lab," showing positive trends in case tracking but highlighting challenges in cybersecurity and digital literacy among older judicial staff.</w:t>
      </w:r>
    </w:p>
    <w:bookmarkEnd w:id="24"/>
    <w:bookmarkStart w:id="25" w:name="v.-challenges-identified"/>
    <w:p>
      <w:pPr>
        <w:pStyle w:val="Heading1"/>
      </w:pPr>
      <w:r>
        <w:t xml:space="preserve">V. Challenges Identified</w:t>
      </w:r>
    </w:p>
    <w:p>
      <w:pPr>
        <w:numPr>
          <w:ilvl w:val="0"/>
          <w:numId w:val="1001"/>
        </w:numPr>
        <w:pStyle w:val="Compact"/>
      </w:pPr>
      <w:r>
        <w:rPr>
          <w:bCs/>
          <w:b/>
        </w:rPr>
        <w:t xml:space="preserve">Caseload Management:</w:t>
      </w:r>
      <w:r>
        <w:t xml:space="preserve"> </w:t>
      </w:r>
      <w:r>
        <w:t xml:space="preserve">The sheer volume of cases in</w:t>
      </w:r>
      <w:r>
        <w:t xml:space="preserve"> </w:t>
      </w:r>
      <w:r>
        <w:rPr>
          <w:bCs/>
          <w:b/>
        </w:rPr>
        <w:t xml:space="preserve">Iraq Baghdad</w:t>
      </w:r>
      <w:r>
        <w:t xml:space="preserve">'s courts places immense strain on Judges, leading to potential burnout and rushed decisions.</w:t>
      </w:r>
    </w:p>
    <w:p>
      <w:pPr>
        <w:numPr>
          <w:ilvl w:val="0"/>
          <w:numId w:val="1001"/>
        </w:numPr>
        <w:pStyle w:val="Compact"/>
      </w:pPr>
      <w:r>
        <w:rPr>
          <w:bCs/>
          <w:b/>
        </w:rPr>
        <w:t xml:space="preserve">Socio-Political Interference:</w:t>
      </w:r>
      <w:r>
        <w:t xml:space="preserve"> </w:t>
      </w:r>
      <w:r>
        <w:t xml:space="preserve">Ensuring total separation from political pressure remains a challenge. The report identifies instances where high-profile cases involving political figures experience procedural delays or anomalies.</w:t>
      </w:r>
    </w:p>
    <w:p>
      <w:pPr>
        <w:numPr>
          <w:ilvl w:val="0"/>
          <w:numId w:val="1001"/>
        </w:numPr>
        <w:pStyle w:val="Compact"/>
      </w:pPr>
      <w:r>
        <w:rPr>
          <w:bCs/>
          <w:b/>
        </w:rPr>
        <w:t xml:space="preserve">Bureaucratic Red Tape:</w:t>
      </w:r>
      <w:r>
        <w:t xml:space="preserve"> </w:t>
      </w:r>
      <w:r>
        <w:t xml:space="preserve">The administrative hurdles faced by a Judge to process appeals and enforce verdicts in the capital region are significant, often requiring manual intervention that slows down the judicial chain of command.</w:t>
      </w:r>
    </w:p>
    <w:bookmarkEnd w:id="25"/>
    <w:bookmarkStart w:id="26" w:name="vi.-conclusion-and-recommendations"/>
    <w:p>
      <w:pPr>
        <w:pStyle w:val="Heading1"/>
      </w:pPr>
      <w:r>
        <w:t xml:space="preserve">VI. Conclusion and Recommendations</w:t>
      </w:r>
    </w:p>
    <w:p>
      <w:pPr>
        <w:pStyle w:val="FirstParagraph"/>
      </w:pPr>
      <w:r>
        <w:t xml:space="preserve">This laboratory report concludes that the role of a</w:t>
      </w:r>
      <w:r>
        <w:t xml:space="preserve"> </w:t>
      </w:r>
      <w:r>
        <w:rPr>
          <w:bCs/>
          <w:b/>
        </w:rPr>
        <w:t xml:space="preserve">Judge</w:t>
      </w:r>
      <w:r>
        <w:t xml:space="preserve"> </w:t>
      </w:r>
      <w:r>
        <w:t xml:space="preserve">in</w:t>
      </w:r>
      <w:r>
        <w:t xml:space="preserve"> </w:t>
      </w:r>
      <w:r>
        <w:rPr>
          <w:bCs/>
          <w:b/>
        </w:rPr>
        <w:t xml:space="preserve">Iraq Baghdad</w:t>
      </w:r>
      <w:r>
        <w:t xml:space="preserve"> </w:t>
      </w:r>
      <w:r>
        <w:t xml:space="preserve">is one of the most demanding yet vital positions in Iraqi society. The intersection of complex legal statutes, security threats, and traditional social structures creates a unique operational environment.</w:t>
      </w:r>
    </w:p>
    <w:p>
      <w:pPr>
        <w:pStyle w:val="BodyText"/>
      </w:pPr>
      <w:r>
        <w:t xml:space="preserve">To enhance the efficacy of this system, it is recommended to:</w:t>
      </w:r>
    </w:p>
    <w:p>
      <w:pPr>
        <w:numPr>
          <w:ilvl w:val="0"/>
          <w:numId w:val="1002"/>
        </w:numPr>
        <w:pStyle w:val="Compact"/>
      </w:pPr>
      <w:r>
        <w:rPr>
          <w:bCs/>
          <w:b/>
        </w:rPr>
        <w:t xml:space="preserve">Increase Judicial Support Staff:</w:t>
      </w:r>
      <w:r>
        <w:t xml:space="preserve"> </w:t>
      </w:r>
      <w:r>
        <w:t xml:space="preserve">Reducing administrative burdens will allow Judges to focus on adjudication rather than paperwork.</w:t>
      </w:r>
    </w:p>
    <w:p>
      <w:pPr>
        <w:numPr>
          <w:ilvl w:val="0"/>
          <w:numId w:val="1002"/>
        </w:numPr>
        <w:pStyle w:val="Compact"/>
      </w:pPr>
      <w:r>
        <w:rPr>
          <w:bCs/>
          <w:b/>
        </w:rPr>
        <w:t xml:space="preserve">Mandatory Continuous Training:</w:t>
      </w:r>
      <w:r>
        <w:t xml:space="preserve"> </w:t>
      </w:r>
      <w:r>
        <w:t xml:space="preserve">Providing specialized training in cybersecurity and international human rights law for Judges in Baghdad.</w:t>
      </w:r>
    </w:p>
    <w:p>
      <w:pPr>
        <w:numPr>
          <w:ilvl w:val="0"/>
          <w:numId w:val="1002"/>
        </w:numPr>
        <w:pStyle w:val="Compact"/>
      </w:pPr>
      <w:r>
        <w:rPr>
          <w:bCs/>
          <w:b/>
        </w:rPr>
        <w:t xml:space="preserve">Safety Protocols Enhancement:</w:t>
      </w:r>
      <w:r>
        <w:t xml:space="preserve"> </w:t>
      </w:r>
      <w:r>
        <w:t xml:space="preserve">Strengthening the security apparatus specifically tailored for judicial personnel to ensure they can work without fear of retribution.</w:t>
      </w:r>
    </w:p>
    <w:p>
      <w:pPr>
        <w:pStyle w:val="FirstParagraph"/>
      </w:pPr>
      <w:r>
        <w:t xml:space="preserve">In summary, while the "Lab" of the</w:t>
      </w:r>
      <w:r>
        <w:t xml:space="preserve"> </w:t>
      </w:r>
      <w:r>
        <w:rPr>
          <w:bCs/>
          <w:b/>
        </w:rPr>
        <w:t xml:space="preserve">Iraq Baghdad</w:t>
      </w:r>
      <w:r>
        <w:t xml:space="preserve"> </w:t>
      </w:r>
      <w:r>
        <w:t xml:space="preserve">judiciary faces numerous challenges, the resilience and adaptability demonstrated by its Judges offer hope for a more stable and effective legal future. The continued study and support of this system are essential for the rule of law in Iraq.</w:t>
      </w:r>
    </w:p>
    <w:p>
      <w:pPr>
        <w:pStyle w:val="BodyText"/>
      </w:pPr>
      <w:r>
        <w:rPr>
          <w:iCs/>
          <w:i/>
        </w:rPr>
        <w:t xml:space="preserve">End of Report.</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Analysis of the Judicial System in Iraq, Baghdad</dc:title>
  <dc:creator/>
  <dc:language>en</dc:language>
  <cp:keywords/>
  <dcterms:created xsi:type="dcterms:W3CDTF">2026-07-29T08:55:27Z</dcterms:created>
  <dcterms:modified xsi:type="dcterms:W3CDTF">2026-07-29T08:55:27Z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