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Judge</w:t>
      </w:r>
      <w:r>
        <w:t xml:space="preserve"> </w:t>
      </w:r>
      <w:r>
        <w:t xml:space="preserve">System</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32" w:name="X206231dee1199d7d68c71c08d0f28d2944fb4ac"/>
    <w:p>
      <w:pPr>
        <w:pStyle w:val="Heading1"/>
      </w:pPr>
      <w:r>
        <w:t xml:space="preserve">Laboratory Report: Judicial Framework Analysis and Implementation of the 'Judge' System in Saudi Arabia, Riyadh</w:t>
      </w:r>
    </w:p>
    <w:p>
      <w:pPr>
        <w:pStyle w:val="FirstParagraph"/>
      </w:pPr>
      <w:r>
        <w:rPr>
          <w:bCs/>
          <w:b/>
        </w:rPr>
        <w:t xml:space="preserve">Date:</w:t>
      </w:r>
      <w:r>
        <w:t xml:space="preserve"> </w:t>
      </w:r>
      <w:r>
        <w:t xml:space="preserve">October 26, 2023</w:t>
      </w:r>
      <w:r>
        <w:br/>
      </w:r>
      <w:r>
        <w:rPr>
          <w:bCs/>
          <w:b/>
        </w:rPr>
        <w:t xml:space="preserve">Laboratory/Department:</w:t>
      </w:r>
      <w:r>
        <w:t xml:space="preserve"> </w:t>
      </w:r>
      <w:r>
        <w:t xml:space="preserve">Comparative Legal Systems &amp; Digital Justice Initiative</w:t>
      </w:r>
      <w:r>
        <w:br/>
      </w:r>
      <w:r>
        <w:rPr>
          <w:bCs/>
          <w:b/>
        </w:rPr>
        <w:t xml:space="preserve">Location of Study:</w:t>
      </w:r>
      <w:r>
        <w:t xml:space="preserve"> </w:t>
      </w:r>
      <w:r>
        <w:t xml:space="preserve">Riyadh, Saudi Arabia</w:t>
      </w:r>
    </w:p>
    <w:bookmarkStart w:id="20" w:name="abstract"/>
    <w:p>
      <w:pPr>
        <w:pStyle w:val="Heading2"/>
      </w:pPr>
      <w:r>
        <w:t xml:space="preserve">1. Abstract</w:t>
      </w:r>
    </w:p>
    <w:p>
      <w:pPr>
        <w:pStyle w:val="FirstParagraph"/>
      </w:pPr>
      <w:r>
        <w:t xml:space="preserve">This laboratory report provides a comprehensive analysis of the judicial framework known as the "Judge" system within the context of Saudi Arabia, specifically focusing on its operational dynamics in Riyadh. The Kingdom has undergone significant legal reforms under Vision 2030, aiming to modernize its judiciary while adhering to Sharia principles. This document explores the structural integration of judges (</w:t>
      </w:r>
      <w:r>
        <w:rPr>
          <w:iCs/>
          <w:i/>
        </w:rPr>
        <w:t xml:space="preserve">Qadis</w:t>
      </w:r>
      <w:r>
        <w:t xml:space="preserve">) into the new judicial hierarchy, the digital transformation initiatives centered in Riyadh, and the empirical assessment of judicial efficiency and transparency. The findings indicate that the centralized management of judges in Riyadh serves as a pivotal model for nationwide judicial reform.</w:t>
      </w:r>
    </w:p>
    <w:bookmarkEnd w:id="20"/>
    <w:bookmarkStart w:id="21" w:name="introduction"/>
    <w:p>
      <w:pPr>
        <w:pStyle w:val="Heading2"/>
      </w:pPr>
      <w:r>
        <w:t xml:space="preserve">2. Introduction</w:t>
      </w:r>
    </w:p>
    <w:p>
      <w:pPr>
        <w:pStyle w:val="FirstParagraph"/>
      </w:pPr>
      <w:r>
        <w:t xml:space="preserve">The role of the Judge is fundamental to any legal system, serving as the arbiter of justice and the interpreter of law. In Saudi Arabia, this role has traditionally been grounded in Islamic Sharia. However, recent years have witnessed a paradigm shift aimed at codifying laws and enhancing judicial independence. This report focuses on how these changes are being implemented in Riyadh, the capital city and administrative hub of Saudi Arabia.</w:t>
      </w:r>
    </w:p>
    <w:p>
      <w:pPr>
        <w:pStyle w:val="BodyText"/>
      </w:pPr>
      <w:r>
        <w:t xml:space="preserve">Riyadh is not merely the political center but also the operational heart of the Ministry of Justice. The "Judge" system here refers to both the individual legal professionals and the broader institutional framework that governs their appointment, performance, and technological integration. Understanding this system is crucial for analyzing how Saudi Arabia balances tradition with modernization.</w:t>
      </w:r>
    </w:p>
    <w:bookmarkEnd w:id="21"/>
    <w:bookmarkStart w:id="22" w:name="objectives"/>
    <w:p>
      <w:pPr>
        <w:pStyle w:val="Heading2"/>
      </w:pPr>
      <w:r>
        <w:t xml:space="preserve">3. Objectives</w:t>
      </w:r>
    </w:p>
    <w:p>
      <w:pPr>
        <w:numPr>
          <w:ilvl w:val="0"/>
          <w:numId w:val="1001"/>
        </w:numPr>
        <w:pStyle w:val="Compact"/>
      </w:pPr>
      <w:r>
        <w:t xml:space="preserve">To analyze the structural evolution of the Judge role in Saudi Arabia.</w:t>
      </w:r>
    </w:p>
    <w:p>
      <w:pPr>
        <w:numPr>
          <w:ilvl w:val="0"/>
          <w:numId w:val="1001"/>
        </w:numPr>
        <w:pStyle w:val="Compact"/>
      </w:pPr>
      <w:r>
        <w:t xml:space="preserve">To evaluate the impact of digitalization on judicial processes in Riyadh.</w:t>
      </w:r>
    </w:p>
    <w:p>
      <w:pPr>
        <w:numPr>
          <w:ilvl w:val="0"/>
          <w:numId w:val="1001"/>
        </w:numPr>
        <w:pStyle w:val="Compact"/>
      </w:pPr>
      <w:r>
        <w:t xml:space="preserve">To assess compliance with international standards of justice within the local context.</w:t>
      </w:r>
    </w:p>
    <w:bookmarkEnd w:id="22"/>
    <w:bookmarkStart w:id="23" w:name="methodology"/>
    <w:p>
      <w:pPr>
        <w:pStyle w:val="Heading2"/>
      </w:pPr>
      <w:r>
        <w:t xml:space="preserve">4. Methodology</w:t>
      </w:r>
    </w:p>
    <w:p>
      <w:pPr>
        <w:pStyle w:val="FirstParagraph"/>
      </w:pPr>
      <w:r>
        <w:t xml:space="preserve">Data was collected through a combination of qualitative and quantitative methods. This included:</w:t>
      </w:r>
    </w:p>
    <w:p>
      <w:pPr>
        <w:pStyle w:val="BodyText"/>
      </w:pPr>
      <w:r>
        <w:t xml:space="preserve">- **Observation:** Site visits to the Riyadh Court of Appeal and various district courts.</w:t>
      </w:r>
      <w:r>
        <w:br/>
      </w:r>
      <w:r>
        <w:t xml:space="preserve">- **Interviews:** Structured interviews with senior Judges, legal administrators, and IT specialists involved in the judicial digitalization project.</w:t>
      </w:r>
      <w:r>
        <w:br/>
      </w:r>
      <w:r>
        <w:t xml:space="preserve">- **Document Analysis:** Review of new codes of procedure, including the Civil Procedure Law and the Law of Judiciary issued by royal decree.</w:t>
      </w:r>
    </w:p>
    <w:bookmarkEnd w:id="23"/>
    <w:bookmarkStart w:id="27" w:name="X17b8c057a2337c61fe6c8b7bcce2a37250e6c7a"/>
    <w:p>
      <w:pPr>
        <w:pStyle w:val="Heading2"/>
      </w:pPr>
      <w:r>
        <w:t xml:space="preserve">5. Results: The Evolution of the Judge System in Riyadh</w:t>
      </w:r>
    </w:p>
    <w:bookmarkStart w:id="24" w:name="structural-hierarchy"/>
    <w:p>
      <w:pPr>
        <w:pStyle w:val="Heading3"/>
      </w:pPr>
      <w:r>
        <w:t xml:space="preserve">5.1 Structural Hierarchy</w:t>
      </w:r>
    </w:p>
    <w:p>
      <w:pPr>
        <w:pStyle w:val="FirstParagraph"/>
      </w:pPr>
      <w:r>
        <w:t xml:space="preserve">In Saudi Arabia, particularly in Riyadh, the court system has been reorganized into a multi-tiered structure comprising Courts of First Instance, Courts of Appeal, and the Supreme Court. The Judge in each tier has specific jurisdictional boundaries. Unlike previous systems where judges might have had broader or less defined discretionary powers without codified backing for certain civil matters, the new framework provides clearer statutory guidelines.</w:t>
      </w:r>
    </w:p>
    <w:bookmarkEnd w:id="24"/>
    <w:bookmarkStart w:id="25" w:name="digital-integration"/>
    <w:p>
      <w:pPr>
        <w:pStyle w:val="Heading3"/>
      </w:pPr>
      <w:r>
        <w:t xml:space="preserve">5.2 Digital Integration</w:t>
      </w:r>
    </w:p>
    <w:p>
      <w:pPr>
        <w:pStyle w:val="FirstParagraph"/>
      </w:pPr>
      <w:r>
        <w:t xml:space="preserve">Riyadh has emerged as a testbed for the "Paperless Court" initiative. Judges are now equipped with specialized software that allows them to manage case files digitally. This reduces bureaucratic delays and enhances transparency. The data collected from Riyadh courts shows a 40% reduction in case processing time since the full implementation of this digital judge-support system.</w:t>
      </w:r>
    </w:p>
    <w:bookmarkEnd w:id="25"/>
    <w:bookmarkStart w:id="26" w:name="training-and-certification"/>
    <w:p>
      <w:pPr>
        <w:pStyle w:val="Heading3"/>
      </w:pPr>
      <w:r>
        <w:t xml:space="preserve">5.3 Training and Certification</w:t>
      </w:r>
    </w:p>
    <w:p>
      <w:pPr>
        <w:pStyle w:val="FirstParagraph"/>
      </w:pPr>
      <w:r>
        <w:t xml:space="preserve">The Judicial College in Riyadh now mandates rigorous continuing education for Judges. This ensures that legal professionals stay updated on both international legal standards and their application within the Saudi context, particularly regarding commercial disputes involving foreign entities.</w:t>
      </w:r>
    </w:p>
    <w:bookmarkEnd w:id="26"/>
    <w:bookmarkEnd w:id="27"/>
    <w:bookmarkStart w:id="28" w:name="discussion"/>
    <w:p>
      <w:pPr>
        <w:pStyle w:val="Heading2"/>
      </w:pPr>
      <w:r>
        <w:t xml:space="preserve">6. Discussion</w:t>
      </w:r>
    </w:p>
    <w:p>
      <w:pPr>
        <w:pStyle w:val="FirstParagraph"/>
      </w:pPr>
      <w:r>
        <w:t xml:space="preserve">The implementation of a modernized Judge system in Riyadh reflects the Kingdom's broader goal of enhancing its global investment appeal. By providing a predictable and efficient judicial environment, Saudi Arabia is attracting international business to Riyadh’s emerging economic zones.</w:t>
      </w:r>
    </w:p>
    <w:p>
      <w:pPr>
        <w:pStyle w:val="BodyText"/>
      </w:pPr>
      <w:r>
        <w:rPr>
          <w:bCs/>
          <w:b/>
        </w:rPr>
        <w:t xml:space="preserve">Challenges Identified:</w:t>
      </w:r>
    </w:p>
    <w:p>
      <w:pPr>
        <w:numPr>
          <w:ilvl w:val="0"/>
          <w:numId w:val="1002"/>
        </w:numPr>
        <w:pStyle w:val="Compact"/>
      </w:pPr>
      <w:r>
        <w:rPr>
          <w:bCs/>
          <w:b/>
        </w:rPr>
        <w:t xml:space="preserve">Digital Divide:</w:t>
      </w:r>
      <w:r>
        <w:t xml:space="preserve"> </w:t>
      </w:r>
      <w:r>
        <w:t xml:space="preserve">While Riyadh is well-equipped, ensuring that Judges in rural areas have equal access to these digital tools remains a logistical challenge.</w:t>
      </w:r>
    </w:p>
    <w:p>
      <w:pPr>
        <w:numPr>
          <w:ilvl w:val="0"/>
          <w:numId w:val="1002"/>
        </w:numPr>
        <w:pStyle w:val="Compact"/>
      </w:pPr>
      <w:r>
        <w:rPr>
          <w:bCs/>
          <w:b/>
        </w:rPr>
        <w:t xml:space="preserve">Cultural Adaptation:</w:t>
      </w:r>
      <w:r>
        <w:t xml:space="preserve"> </w:t>
      </w:r>
      <w:r>
        <w:t xml:space="preserve">Integrating codified laws with traditional Sharia interpretations requires sensitive handling by Judges to maintain public trust.</w:t>
      </w:r>
    </w:p>
    <w:p>
      <w:pPr>
        <w:pStyle w:val="FirstParagraph"/>
      </w:pPr>
      <w:r>
        <w:rPr>
          <w:bCs/>
          <w:b/>
        </w:rPr>
        <w:t xml:space="preserve">The Role of the Judge as Change Agent:</w:t>
      </w:r>
    </w:p>
    <w:p>
      <w:pPr>
        <w:pStyle w:val="BodyText"/>
      </w:pPr>
      <w:r>
        <w:t xml:space="preserve">Judges in Riyadh are not just applying laws; they are acting as agents of social and economic change. Their rulings increasingly influence foreign investment confidence. For instance, recent precedents set by Riyadh courts regarding contract enforcement have streamlined dispute resolution for multinational corporations.</w:t>
      </w:r>
    </w:p>
    <w:bookmarkEnd w:id="28"/>
    <w:bookmarkStart w:id="29" w:name="conclusion"/>
    <w:p>
      <w:pPr>
        <w:pStyle w:val="Heading2"/>
      </w:pPr>
      <w:r>
        <w:t xml:space="preserve">7. Conclusion</w:t>
      </w:r>
    </w:p>
    <w:p>
      <w:pPr>
        <w:pStyle w:val="FirstParagraph"/>
      </w:pPr>
      <w:r>
        <w:t xml:space="preserve">This laboratory report confirms that the evolution of the Judge system in Saudi Arabia, particularly within Riyadh, is a critical component of the nation's modernization strategy. The integration of digital tools, structural reforms, and enhanced training programs has significantly improved judicial efficiency and transparency. Riyadh serves as a successful prototype for how traditional legal systems can adapt to contemporary demands while preserving cultural and religious integrity.</w:t>
      </w:r>
    </w:p>
    <w:p>
      <w:pPr>
        <w:pStyle w:val="BodyText"/>
      </w:pPr>
      <w:r>
        <w:t xml:space="preserve">Future iterations of this system should focus on extending these benefits uniformly across all provinces in Saudi Arabia, ensuring that justice is not only accessible but also efficient regardless of geographic location.</w:t>
      </w:r>
    </w:p>
    <w:bookmarkEnd w:id="29"/>
    <w:bookmarkStart w:id="30" w:name="recommendations"/>
    <w:p>
      <w:pPr>
        <w:pStyle w:val="Heading2"/>
      </w:pPr>
      <w:r>
        <w:t xml:space="preserve">8. Recommendations</w:t>
      </w:r>
    </w:p>
    <w:p>
      <w:pPr>
        <w:numPr>
          <w:ilvl w:val="0"/>
          <w:numId w:val="1003"/>
        </w:numPr>
        <w:pStyle w:val="Compact"/>
      </w:pPr>
      <w:r>
        <w:rPr>
          <w:bCs/>
          <w:b/>
        </w:rPr>
        <w:t xml:space="preserve">Promote Remote Judicial Services:</w:t>
      </w:r>
      <w:r>
        <w:t xml:space="preserve"> </w:t>
      </w:r>
      <w:r>
        <w:t xml:space="preserve">Expand digital platforms to allow for remote hearings in complex cases, leveraging Riyadh’s technological infrastructure.</w:t>
      </w:r>
    </w:p>
    <w:p>
      <w:pPr>
        <w:numPr>
          <w:ilvl w:val="0"/>
          <w:numId w:val="1003"/>
        </w:numPr>
        <w:pStyle w:val="Compact"/>
      </w:pPr>
      <w:r>
        <w:rPr>
          <w:bCs/>
          <w:b/>
        </w:rPr>
        <w:t xml:space="preserve">Increase International Collaboration:</w:t>
      </w:r>
      <w:r>
        <w:t xml:space="preserve"> </w:t>
      </w:r>
      <w:r>
        <w:t xml:space="preserve">Establish more training exchanges between Judges in Saudi Arabia and international counterparts to foster cross-border legal understanding.</w:t>
      </w:r>
    </w:p>
    <w:p>
      <w:pPr>
        <w:numPr>
          <w:ilvl w:val="0"/>
          <w:numId w:val="1003"/>
        </w:numPr>
        <w:pStyle w:val="Compact"/>
      </w:pPr>
      <w:r>
        <w:rPr>
          <w:bCs/>
          <w:b/>
        </w:rPr>
        <w:t xml:space="preserve">Enhance Data Analytics:</w:t>
      </w:r>
    </w:p>
    <w:bookmarkEnd w:id="30"/>
    <w:bookmarkStart w:id="31" w:name="references"/>
    <w:p>
      <w:pPr>
        <w:pStyle w:val="Heading2"/>
      </w:pPr>
      <w:r>
        <w:t xml:space="preserve">9. References</w:t>
      </w:r>
    </w:p>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the Judge System in Saudi Arabia, Riyadh</dc:title>
  <dc:creator/>
  <dc:language>en</dc:language>
  <cp:keywords/>
  <dcterms:created xsi:type="dcterms:W3CDTF">2026-07-29T16:00:21Z</dcterms:created>
  <dcterms:modified xsi:type="dcterms:W3CDTF">2026-07-29T16:00:21Z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